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72C0" w:rsidRDefault="001472C0" w:rsidP="001472C0">
      <w:pPr>
        <w:pStyle w:val="Heading5"/>
        <w:numPr>
          <w:ilvl w:val="0"/>
          <w:numId w:val="0"/>
        </w:numPr>
        <w:rPr>
          <w:b w:val="0"/>
        </w:rPr>
      </w:pPr>
      <w:r w:rsidRPr="001472C0">
        <w:t>Anexa 5</w:t>
      </w:r>
      <w:r>
        <w:rPr>
          <w:b w:val="0"/>
        </w:rPr>
        <w:t xml:space="preserve">                                           </w:t>
      </w:r>
      <w:bookmarkStart w:id="0" w:name="_GoBack"/>
      <w:bookmarkEnd w:id="0"/>
      <w:r w:rsidRPr="001472C0">
        <w:t>Fișa submăsurii 6.2</w:t>
      </w:r>
    </w:p>
    <w:p w:rsidR="001472C0" w:rsidRDefault="001472C0" w:rsidP="001472C0">
      <w:pPr>
        <w:pStyle w:val="Heading5"/>
        <w:numPr>
          <w:ilvl w:val="0"/>
          <w:numId w:val="0"/>
        </w:numPr>
        <w:rPr>
          <w:b w:val="0"/>
        </w:rPr>
      </w:pPr>
      <w:r>
        <w:rPr>
          <w:b w:val="0"/>
        </w:rPr>
        <w:t>6.2 Sprijin pentru înfiinţarea de activităţi neagricole în zone rurale</w:t>
      </w:r>
    </w:p>
    <w:p w:rsidR="001472C0" w:rsidRDefault="001472C0" w:rsidP="001472C0">
      <w:r>
        <w:t xml:space="preserve">Submăsură: </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9340"/>
      </w:tblGrid>
      <w:tr w:rsidR="001472C0" w:rsidTr="002119B5">
        <w:tc>
          <w:tcPr>
            <w:tcW w:w="12000" w:type="dxa"/>
            <w:shd w:val="clear" w:color="auto" w:fill="auto"/>
            <w:tcMar>
              <w:top w:w="20" w:type="dxa"/>
              <w:bottom w:w="20" w:type="dxa"/>
            </w:tcMar>
            <w:vAlign w:val="center"/>
          </w:tcPr>
          <w:p w:rsidR="001472C0" w:rsidRDefault="001472C0" w:rsidP="001472C0">
            <w:pPr>
              <w:numPr>
                <w:ilvl w:val="0"/>
                <w:numId w:val="3"/>
              </w:numPr>
            </w:pPr>
            <w:r>
              <w:t>6.2 - sprijin pentru demararea de afaceri cu activități neagricole în zonele rurale</w:t>
            </w:r>
          </w:p>
        </w:tc>
      </w:tr>
    </w:tbl>
    <w:p w:rsidR="001472C0" w:rsidRDefault="001472C0" w:rsidP="001472C0">
      <w:pPr>
        <w:pStyle w:val="Heading6"/>
      </w:pPr>
      <w:r>
        <w:t>Descrierea tipului operațiunii</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340"/>
      </w:tblGrid>
      <w:tr w:rsidR="001472C0" w:rsidTr="002119B5">
        <w:tc>
          <w:tcPr>
            <w:tcW w:w="12000" w:type="dxa"/>
            <w:shd w:val="clear" w:color="auto" w:fill="auto"/>
            <w:tcMar>
              <w:top w:w="20" w:type="dxa"/>
              <w:bottom w:w="20" w:type="dxa"/>
            </w:tcMar>
            <w:vAlign w:val="center"/>
          </w:tcPr>
          <w:p w:rsidR="001472C0" w:rsidRDefault="001472C0" w:rsidP="002119B5">
            <w:pPr>
              <w:spacing w:before="0" w:after="240"/>
              <w:jc w:val="left"/>
              <w:rPr>
                <w:szCs w:val="24"/>
              </w:rPr>
            </w:pPr>
            <w:r>
              <w:rPr>
                <w:szCs w:val="24"/>
              </w:rPr>
              <w:t> </w:t>
            </w:r>
          </w:p>
          <w:p w:rsidR="001472C0" w:rsidRDefault="001472C0" w:rsidP="002119B5">
            <w:pPr>
              <w:spacing w:before="240" w:after="240"/>
              <w:jc w:val="left"/>
              <w:rPr>
                <w:szCs w:val="24"/>
              </w:rPr>
            </w:pPr>
            <w:r>
              <w:rPr>
                <w:szCs w:val="24"/>
              </w:rPr>
              <w:t>În cadrul acestei sub-măsuri se va acorda sprijin prin Instrumentul de Redresare al Uniunii Europene (EURI), în baza Regulamentului (UE) 2020/2094 al Consiliului din 14 decembrie 2020. Scopul sub-măsurii, acela de a facilita diversificarea prin înfiinţarea şi dezvoltarea de microîntreprinderi şi întreprinderi mici în sectorul non-agricol din zonele rurale, conduce la dezvoltare economică durabilă, creare de locuri de muncă și reducerea sărăciei în spațiul rural. Sprijinul va viza crearea de noi activități non-agricole, în special, pentru fermierii de mici dimensiuni sau membrii familiilor lor și în general, pentru micii întreprinzători din mediul rural, promovând dezvoltarea economică și socială în zonele rurale.</w:t>
            </w:r>
          </w:p>
          <w:p w:rsidR="001472C0" w:rsidRDefault="001472C0" w:rsidP="002119B5">
            <w:pPr>
              <w:spacing w:before="240" w:after="240"/>
              <w:jc w:val="left"/>
              <w:rPr>
                <w:szCs w:val="24"/>
              </w:rPr>
            </w:pPr>
            <w:r>
              <w:rPr>
                <w:szCs w:val="24"/>
              </w:rPr>
              <w:t>De asemenea, contribuind la obiectivele EURI de redresare economică rezilientă, durabilă și digitală care contracarează în același timp efectele crizei provocate de COVID-19 asupra dezvoltării rurale, sunt prioritizate activitățile de digitalizare la nivelul afacerilor, activitățile de protecția mediului, precum și serviciile medicale.</w:t>
            </w:r>
          </w:p>
          <w:p w:rsidR="001472C0" w:rsidRDefault="001472C0" w:rsidP="002119B5">
            <w:pPr>
              <w:spacing w:before="240" w:after="240"/>
              <w:jc w:val="left"/>
              <w:rPr>
                <w:szCs w:val="24"/>
              </w:rPr>
            </w:pPr>
            <w:r>
              <w:rPr>
                <w:szCs w:val="24"/>
              </w:rPr>
              <w:t>Această submăsură vizează:</w:t>
            </w:r>
          </w:p>
          <w:p w:rsidR="001472C0" w:rsidRDefault="001472C0" w:rsidP="001472C0">
            <w:pPr>
              <w:numPr>
                <w:ilvl w:val="0"/>
                <w:numId w:val="4"/>
              </w:numPr>
              <w:spacing w:before="240" w:after="0"/>
              <w:ind w:hanging="210"/>
              <w:jc w:val="left"/>
              <w:rPr>
                <w:szCs w:val="24"/>
              </w:rPr>
            </w:pPr>
            <w:r>
              <w:rPr>
                <w:szCs w:val="24"/>
              </w:rPr>
              <w:t>diversificarea economiei rurale prin creşterea numărului de microîntreprinderi şi întreprinderi mici în sectorul non-agricol, dezvoltarea serviciilor şi crearea de locuri de muncă în spațiul rural;</w:t>
            </w:r>
          </w:p>
          <w:p w:rsidR="001472C0" w:rsidRDefault="001472C0" w:rsidP="001472C0">
            <w:pPr>
              <w:numPr>
                <w:ilvl w:val="0"/>
                <w:numId w:val="4"/>
              </w:numPr>
              <w:spacing w:before="0" w:after="0"/>
              <w:ind w:hanging="210"/>
              <w:jc w:val="left"/>
              <w:rPr>
                <w:szCs w:val="24"/>
              </w:rPr>
            </w:pPr>
            <w:r>
              <w:rPr>
                <w:szCs w:val="24"/>
              </w:rPr>
              <w:t>încurajarea menținerii și dezvoltării activităților meșteșugărești tradiționale și de productie;</w:t>
            </w:r>
          </w:p>
          <w:p w:rsidR="001472C0" w:rsidRDefault="001472C0" w:rsidP="001472C0">
            <w:pPr>
              <w:numPr>
                <w:ilvl w:val="0"/>
                <w:numId w:val="4"/>
              </w:numPr>
              <w:spacing w:before="0" w:after="0"/>
              <w:ind w:hanging="210"/>
              <w:jc w:val="left"/>
              <w:rPr>
                <w:szCs w:val="24"/>
              </w:rPr>
            </w:pPr>
            <w:r>
              <w:rPr>
                <w:szCs w:val="24"/>
              </w:rPr>
              <w:t>digitalizarea activităților din mediul rural;</w:t>
            </w:r>
          </w:p>
          <w:p w:rsidR="001472C0" w:rsidRDefault="001472C0" w:rsidP="001472C0">
            <w:pPr>
              <w:numPr>
                <w:ilvl w:val="0"/>
                <w:numId w:val="4"/>
              </w:numPr>
              <w:spacing w:before="0" w:after="240"/>
              <w:ind w:hanging="210"/>
              <w:jc w:val="left"/>
              <w:rPr>
                <w:szCs w:val="24"/>
              </w:rPr>
            </w:pPr>
            <w:r>
              <w:rPr>
                <w:szCs w:val="24"/>
              </w:rPr>
              <w:t>încurajarea acțiunilor de protecție a mediului</w:t>
            </w:r>
          </w:p>
          <w:p w:rsidR="001472C0" w:rsidRDefault="001472C0" w:rsidP="002119B5">
            <w:pPr>
              <w:pStyle w:val="BodyText"/>
            </w:pPr>
          </w:p>
        </w:tc>
      </w:tr>
    </w:tbl>
    <w:p w:rsidR="001472C0" w:rsidRDefault="001472C0" w:rsidP="001472C0">
      <w:pPr>
        <w:pStyle w:val="Heading6"/>
      </w:pPr>
      <w:r>
        <w:t>Tip de sprijin</w:t>
      </w:r>
    </w:p>
    <w:p w:rsidR="001472C0" w:rsidRDefault="001472C0" w:rsidP="001472C0">
      <w:r>
        <w:t>Tip de sprijin: Granturi</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340"/>
      </w:tblGrid>
      <w:tr w:rsidR="001472C0" w:rsidTr="002119B5">
        <w:tc>
          <w:tcPr>
            <w:tcW w:w="12000" w:type="dxa"/>
            <w:shd w:val="clear" w:color="auto" w:fill="auto"/>
            <w:tcMar>
              <w:top w:w="20" w:type="dxa"/>
              <w:bottom w:w="20" w:type="dxa"/>
            </w:tcMar>
            <w:vAlign w:val="center"/>
          </w:tcPr>
          <w:p w:rsidR="001472C0" w:rsidRDefault="001472C0" w:rsidP="002119B5">
            <w:pPr>
              <w:spacing w:before="0" w:after="240"/>
              <w:jc w:val="left"/>
              <w:rPr>
                <w:szCs w:val="24"/>
              </w:rPr>
            </w:pPr>
            <w:r>
              <w:rPr>
                <w:szCs w:val="24"/>
              </w:rPr>
              <w:t>Sprijinul va fi acordat sub formă de sumă forfetară pentru finanțarea de noi activități non-agricole în mediul rural pe baza unui plan de afaceri.</w:t>
            </w:r>
          </w:p>
          <w:p w:rsidR="001472C0" w:rsidRDefault="001472C0" w:rsidP="002119B5">
            <w:pPr>
              <w:pStyle w:val="BodyText"/>
            </w:pPr>
          </w:p>
        </w:tc>
      </w:tr>
    </w:tbl>
    <w:p w:rsidR="001472C0" w:rsidRDefault="001472C0" w:rsidP="001472C0">
      <w:pPr>
        <w:pStyle w:val="Heading6"/>
      </w:pPr>
      <w:r>
        <w:lastRenderedPageBreak/>
        <w:t>Trimiteri la alte acte legislative</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340"/>
      </w:tblGrid>
      <w:tr w:rsidR="001472C0" w:rsidTr="002119B5">
        <w:tc>
          <w:tcPr>
            <w:tcW w:w="12000" w:type="dxa"/>
            <w:shd w:val="clear" w:color="auto" w:fill="auto"/>
            <w:tcMar>
              <w:top w:w="20" w:type="dxa"/>
              <w:bottom w:w="20" w:type="dxa"/>
            </w:tcMar>
            <w:vAlign w:val="center"/>
          </w:tcPr>
          <w:p w:rsidR="001472C0" w:rsidRDefault="001472C0" w:rsidP="002119B5">
            <w:pPr>
              <w:spacing w:before="0" w:after="240"/>
              <w:jc w:val="left"/>
              <w:rPr>
                <w:szCs w:val="24"/>
              </w:rPr>
            </w:pPr>
            <w:r>
              <w:rPr>
                <w:b/>
                <w:bCs/>
                <w:szCs w:val="24"/>
              </w:rPr>
              <w:t>Legislație UE</w:t>
            </w:r>
          </w:p>
          <w:p w:rsidR="001472C0" w:rsidRDefault="001472C0" w:rsidP="002119B5">
            <w:pPr>
              <w:spacing w:before="240" w:after="240"/>
              <w:jc w:val="left"/>
              <w:rPr>
                <w:szCs w:val="24"/>
              </w:rPr>
            </w:pPr>
            <w:r>
              <w:rPr>
                <w:szCs w:val="24"/>
              </w:rPr>
              <w:t>Recomandarea 2003/361/CE din 6 mai 2003 privind definirea micro-întreprinderilor şi a întreprinderilor mici şi mijlocii.</w:t>
            </w:r>
          </w:p>
          <w:p w:rsidR="001472C0" w:rsidRDefault="001472C0" w:rsidP="002119B5">
            <w:pPr>
              <w:spacing w:before="240" w:after="240"/>
              <w:jc w:val="left"/>
              <w:rPr>
                <w:szCs w:val="24"/>
              </w:rPr>
            </w:pPr>
            <w:r>
              <w:rPr>
                <w:szCs w:val="24"/>
              </w:rPr>
              <w:t>Regulamentul (UE) nr. 1407/2013 privind aplicarea art. 107 și 108 din Tratatul privind funcționarea Uniunii Europene referitor la ajutoarele de minimis, cu modificările ulterioare.</w:t>
            </w:r>
          </w:p>
          <w:p w:rsidR="001472C0" w:rsidRDefault="001472C0" w:rsidP="002119B5">
            <w:pPr>
              <w:spacing w:before="240" w:after="240"/>
              <w:jc w:val="left"/>
              <w:rPr>
                <w:szCs w:val="24"/>
              </w:rPr>
            </w:pPr>
            <w:r>
              <w:rPr>
                <w:szCs w:val="24"/>
              </w:rPr>
              <w:t>REGULAMENTUL (UE) 2020/2094 AL CONSILIULUI din 14 decembrie 2020 de instituire a unui instrument de redresare al Uniunii Europene pentru a sprijini redresarea în urma crizei provocate de COVID-19.</w:t>
            </w:r>
          </w:p>
          <w:p w:rsidR="001472C0" w:rsidRDefault="001472C0" w:rsidP="002119B5">
            <w:pPr>
              <w:spacing w:before="240" w:after="240"/>
              <w:jc w:val="left"/>
              <w:rPr>
                <w:szCs w:val="24"/>
              </w:rPr>
            </w:pPr>
            <w:r>
              <w:rPr>
                <w:szCs w:val="24"/>
              </w:rPr>
              <w:t>Regulamentul (UE) 2220/2020 AL PARLAMENTULUI EUROPEAN ȘI AL CONSILIULUI de stabilire a anumitor dispoziții tranzitorii privind sprijinul acordat din FEADR și din FEGA în anii 2021 și 2022 și de modificare a Reg. (UE) nr. 1305/2013, (UE) nr. 1306/2013 și (UE) nr. 1307/2013 în ceea ce privește resursele și aplicarea regulamentelor respective în anii 2021 și 2022 și a Reg. (UE) nr. 1308/2013 în ceea ce privește resursele și repartizarea unui astfel de sprijin pentru anii 2021 și 2022.</w:t>
            </w:r>
          </w:p>
          <w:p w:rsidR="001472C0" w:rsidRDefault="001472C0" w:rsidP="002119B5">
            <w:pPr>
              <w:spacing w:before="240" w:after="240"/>
              <w:jc w:val="left"/>
              <w:rPr>
                <w:szCs w:val="24"/>
              </w:rPr>
            </w:pPr>
            <w:r>
              <w:rPr>
                <w:b/>
                <w:bCs/>
                <w:szCs w:val="24"/>
              </w:rPr>
              <w:t>Legislaţie Naţională</w:t>
            </w:r>
          </w:p>
          <w:p w:rsidR="001472C0" w:rsidRDefault="001472C0" w:rsidP="002119B5">
            <w:pPr>
              <w:spacing w:before="240" w:after="240"/>
              <w:jc w:val="left"/>
              <w:rPr>
                <w:szCs w:val="24"/>
              </w:rPr>
            </w:pPr>
            <w:r>
              <w:rPr>
                <w:szCs w:val="24"/>
              </w:rPr>
              <w:t>Ordonanță de Urgență nr. 44/2008 privind desfășurarea activităților economice de către persoanele fizice autorizate, întreprinderile individuale și întreprinderile familiale cu modificările și completările ulterioare;</w:t>
            </w:r>
          </w:p>
          <w:p w:rsidR="001472C0" w:rsidRDefault="001472C0" w:rsidP="002119B5">
            <w:pPr>
              <w:spacing w:before="240" w:after="240"/>
              <w:jc w:val="left"/>
              <w:rPr>
                <w:szCs w:val="24"/>
              </w:rPr>
            </w:pPr>
            <w:r>
              <w:rPr>
                <w:szCs w:val="24"/>
              </w:rPr>
              <w:t>Ordonanța de Urgență nr. 142/2008 privind aprobarea Planului de amenajare a teritoriului național, cu modificările și completările ulterioare.</w:t>
            </w:r>
          </w:p>
          <w:p w:rsidR="001472C0" w:rsidRDefault="001472C0" w:rsidP="002119B5">
            <w:pPr>
              <w:spacing w:before="240" w:after="240"/>
              <w:jc w:val="left"/>
              <w:rPr>
                <w:szCs w:val="24"/>
              </w:rPr>
            </w:pPr>
            <w:r>
              <w:rPr>
                <w:szCs w:val="24"/>
              </w:rPr>
              <w:t>Legea nr. 31/</w:t>
            </w:r>
            <w:proofErr w:type="gramStart"/>
            <w:r>
              <w:rPr>
                <w:szCs w:val="24"/>
              </w:rPr>
              <w:t>1990  societăţilor</w:t>
            </w:r>
            <w:proofErr w:type="gramEnd"/>
            <w:r>
              <w:rPr>
                <w:szCs w:val="24"/>
              </w:rPr>
              <w:t>, republicată, cu modificările și completările ulterioare.</w:t>
            </w:r>
          </w:p>
          <w:p w:rsidR="001472C0" w:rsidRDefault="001472C0" w:rsidP="002119B5">
            <w:pPr>
              <w:spacing w:before="240" w:after="240"/>
              <w:jc w:val="left"/>
              <w:rPr>
                <w:szCs w:val="24"/>
              </w:rPr>
            </w:pPr>
            <w:r>
              <w:rPr>
                <w:szCs w:val="24"/>
              </w:rPr>
              <w:t xml:space="preserve">Legea nr. 346 din 14 iulie 2004 privind stimularea înfiinţării şi dezvoltării întreprinderilor mici şi </w:t>
            </w:r>
            <w:proofErr w:type="gramStart"/>
            <w:r>
              <w:rPr>
                <w:szCs w:val="24"/>
              </w:rPr>
              <w:t>mijlocii,  cu</w:t>
            </w:r>
            <w:proofErr w:type="gramEnd"/>
            <w:r>
              <w:rPr>
                <w:szCs w:val="24"/>
              </w:rPr>
              <w:t xml:space="preserve"> modificările și completările ulterioare.</w:t>
            </w:r>
          </w:p>
          <w:p w:rsidR="001472C0" w:rsidRDefault="001472C0" w:rsidP="002119B5">
            <w:pPr>
              <w:pStyle w:val="BodyText"/>
            </w:pPr>
          </w:p>
        </w:tc>
      </w:tr>
    </w:tbl>
    <w:p w:rsidR="001472C0" w:rsidRDefault="001472C0" w:rsidP="001472C0">
      <w:pPr>
        <w:pStyle w:val="Heading6"/>
      </w:pPr>
      <w:r>
        <w:t>Beneficiari</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340"/>
      </w:tblGrid>
      <w:tr w:rsidR="001472C0" w:rsidTr="002119B5">
        <w:tc>
          <w:tcPr>
            <w:tcW w:w="12000" w:type="dxa"/>
            <w:shd w:val="clear" w:color="auto" w:fill="auto"/>
            <w:tcMar>
              <w:top w:w="20" w:type="dxa"/>
              <w:bottom w:w="20" w:type="dxa"/>
            </w:tcMar>
            <w:vAlign w:val="center"/>
          </w:tcPr>
          <w:p w:rsidR="001472C0" w:rsidRDefault="001472C0" w:rsidP="001472C0">
            <w:pPr>
              <w:numPr>
                <w:ilvl w:val="0"/>
                <w:numId w:val="5"/>
              </w:numPr>
              <w:spacing w:before="0" w:after="0"/>
              <w:ind w:hanging="210"/>
              <w:jc w:val="left"/>
              <w:rPr>
                <w:szCs w:val="24"/>
              </w:rPr>
            </w:pPr>
            <w:r>
              <w:rPr>
                <w:szCs w:val="24"/>
              </w:rPr>
              <w:t>Fermieri sau membrii unei gospodarii agricole, care își diversifică activitatea prin înființarea unei activități non-agricole în spațiul rural pentru prima dată. Persoanele fizice neautorizate nu sunt eligibile;</w:t>
            </w:r>
          </w:p>
          <w:p w:rsidR="001472C0" w:rsidRDefault="001472C0" w:rsidP="001472C0">
            <w:pPr>
              <w:numPr>
                <w:ilvl w:val="0"/>
                <w:numId w:val="5"/>
              </w:numPr>
              <w:spacing w:before="0" w:after="0"/>
              <w:ind w:hanging="210"/>
              <w:jc w:val="left"/>
              <w:rPr>
                <w:szCs w:val="24"/>
              </w:rPr>
            </w:pPr>
            <w:r>
              <w:rPr>
                <w:szCs w:val="24"/>
              </w:rPr>
              <w:t>Micro-întreprinderi și întreprinderi mici existente din spațiul rural, care își propun activități non-agricole, pe care pe care nu le-au mai efectuat până la data aplicării pentru sprijin;</w:t>
            </w:r>
          </w:p>
          <w:p w:rsidR="001472C0" w:rsidRDefault="001472C0" w:rsidP="001472C0">
            <w:pPr>
              <w:numPr>
                <w:ilvl w:val="0"/>
                <w:numId w:val="5"/>
              </w:numPr>
              <w:spacing w:before="0" w:after="240"/>
              <w:ind w:hanging="210"/>
              <w:jc w:val="left"/>
              <w:rPr>
                <w:szCs w:val="24"/>
              </w:rPr>
            </w:pPr>
            <w:r>
              <w:rPr>
                <w:szCs w:val="24"/>
              </w:rPr>
              <w:t>Micro-întreprinderi și întreprinderi mici noi, înființate în anul depunerii aplicației de finanțare sau cu o vechime de maxim 3 ani fiscali, care nu au desfășurat activități până în momentul depunerii acesteia (start-ups);</w:t>
            </w:r>
          </w:p>
          <w:p w:rsidR="001472C0" w:rsidRDefault="001472C0" w:rsidP="002119B5">
            <w:pPr>
              <w:pStyle w:val="BodyText"/>
            </w:pPr>
          </w:p>
        </w:tc>
      </w:tr>
    </w:tbl>
    <w:p w:rsidR="001472C0" w:rsidRDefault="001472C0" w:rsidP="001472C0">
      <w:pPr>
        <w:pStyle w:val="Heading6"/>
      </w:pPr>
      <w:r>
        <w:lastRenderedPageBreak/>
        <w:t>Costuri eligibile</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340"/>
      </w:tblGrid>
      <w:tr w:rsidR="001472C0" w:rsidTr="002119B5">
        <w:tc>
          <w:tcPr>
            <w:tcW w:w="12000" w:type="dxa"/>
            <w:shd w:val="clear" w:color="auto" w:fill="auto"/>
            <w:tcMar>
              <w:top w:w="20" w:type="dxa"/>
              <w:bottom w:w="20" w:type="dxa"/>
            </w:tcMar>
            <w:vAlign w:val="center"/>
          </w:tcPr>
          <w:p w:rsidR="001472C0" w:rsidRDefault="001472C0" w:rsidP="002119B5">
            <w:pPr>
              <w:spacing w:before="0" w:after="240"/>
              <w:jc w:val="left"/>
              <w:rPr>
                <w:szCs w:val="24"/>
              </w:rPr>
            </w:pPr>
            <w:r>
              <w:rPr>
                <w:b/>
                <w:bCs/>
                <w:szCs w:val="24"/>
              </w:rPr>
              <w:t>Costuri eligibile</w:t>
            </w:r>
          </w:p>
          <w:p w:rsidR="001472C0" w:rsidRDefault="001472C0" w:rsidP="002119B5">
            <w:pPr>
              <w:spacing w:before="240" w:after="240"/>
              <w:jc w:val="left"/>
              <w:rPr>
                <w:szCs w:val="24"/>
              </w:rPr>
            </w:pPr>
            <w:r>
              <w:rPr>
                <w:b/>
                <w:bCs/>
                <w:szCs w:val="24"/>
              </w:rPr>
              <w:t>Sprijinul se acordă</w:t>
            </w:r>
            <w:r>
              <w:rPr>
                <w:szCs w:val="24"/>
              </w:rPr>
              <w:t xml:space="preserve"> pentru activităţile prevăzute pentru îndeplinirea obiectivelor din cadrul Planului de Afaceri (PA). Toate cheltuielile propuse prin PA, inclusiv capital de lucru și capitalizarea întreprinderii şi activităţile relevante pentru implementarea corectă a </w:t>
            </w:r>
            <w:r>
              <w:rPr>
                <w:b/>
                <w:bCs/>
                <w:szCs w:val="24"/>
              </w:rPr>
              <w:t>PA aprobat</w:t>
            </w:r>
            <w:r>
              <w:rPr>
                <w:szCs w:val="24"/>
              </w:rPr>
              <w:t xml:space="preserve">, pot </w:t>
            </w:r>
            <w:proofErr w:type="gramStart"/>
            <w:r>
              <w:rPr>
                <w:szCs w:val="24"/>
              </w:rPr>
              <w:t>fi  eligibile</w:t>
            </w:r>
            <w:proofErr w:type="gramEnd"/>
            <w:r>
              <w:rPr>
                <w:szCs w:val="24"/>
              </w:rPr>
              <w:t>, indiferent de natura acestora.</w:t>
            </w:r>
          </w:p>
          <w:p w:rsidR="001472C0" w:rsidRDefault="001472C0" w:rsidP="002119B5">
            <w:pPr>
              <w:spacing w:before="240" w:after="240"/>
              <w:jc w:val="left"/>
              <w:rPr>
                <w:szCs w:val="24"/>
              </w:rPr>
            </w:pPr>
            <w:r>
              <w:rPr>
                <w:b/>
                <w:bCs/>
                <w:szCs w:val="24"/>
              </w:rPr>
              <w:t>Costuri neeligibile</w:t>
            </w:r>
          </w:p>
          <w:p w:rsidR="001472C0" w:rsidRDefault="001472C0" w:rsidP="002119B5">
            <w:pPr>
              <w:spacing w:before="240" w:after="240"/>
              <w:jc w:val="left"/>
              <w:rPr>
                <w:szCs w:val="24"/>
              </w:rPr>
            </w:pPr>
            <w:r>
              <w:rPr>
                <w:szCs w:val="24"/>
              </w:rPr>
              <w:t>Nu sunt eligibile cheltuielile cu achiziționarea de utilaje și echipamente agricole aferente activității de prestare de servicii agricole, în conformitate cu Clasificarea Activităților din Economia Națională, precum și producerea și comercializarea produselor din Anexa I din Tratat.</w:t>
            </w:r>
          </w:p>
          <w:p w:rsidR="001472C0" w:rsidRDefault="001472C0" w:rsidP="002119B5">
            <w:pPr>
              <w:spacing w:before="240" w:after="240"/>
              <w:jc w:val="left"/>
              <w:rPr>
                <w:szCs w:val="24"/>
              </w:rPr>
            </w:pPr>
            <w:r>
              <w:rPr>
                <w:szCs w:val="24"/>
              </w:rPr>
              <w:t>Nu sunt eligible cheltuielile pentru:</w:t>
            </w:r>
          </w:p>
          <w:p w:rsidR="001472C0" w:rsidRDefault="001472C0" w:rsidP="002119B5">
            <w:pPr>
              <w:spacing w:before="240" w:after="240"/>
              <w:jc w:val="left"/>
              <w:rPr>
                <w:szCs w:val="24"/>
              </w:rPr>
            </w:pPr>
            <w:r>
              <w:rPr>
                <w:szCs w:val="24"/>
              </w:rPr>
              <w:t>- înființare/modernizare/extindere de agropensiuni.</w:t>
            </w:r>
          </w:p>
          <w:p w:rsidR="001472C0" w:rsidRDefault="001472C0" w:rsidP="002119B5">
            <w:pPr>
              <w:spacing w:before="240" w:after="240"/>
              <w:jc w:val="left"/>
              <w:rPr>
                <w:szCs w:val="24"/>
              </w:rPr>
            </w:pPr>
            <w:r>
              <w:rPr>
                <w:szCs w:val="24"/>
              </w:rPr>
              <w:t>- înființare/modernizare/extindere de pensiuni, hoteluri.</w:t>
            </w:r>
          </w:p>
          <w:p w:rsidR="001472C0" w:rsidRDefault="001472C0" w:rsidP="002119B5">
            <w:pPr>
              <w:spacing w:before="240" w:after="240"/>
              <w:jc w:val="left"/>
              <w:rPr>
                <w:szCs w:val="24"/>
              </w:rPr>
            </w:pPr>
            <w:r>
              <w:rPr>
                <w:szCs w:val="24"/>
              </w:rPr>
              <w:t>- înființare/modernizare/extindere structuri de alimentație publică integrate în cadrul structurilor turistice de cazare.</w:t>
            </w:r>
          </w:p>
          <w:p w:rsidR="001472C0" w:rsidRDefault="001472C0" w:rsidP="002119B5">
            <w:pPr>
              <w:pStyle w:val="BodyText"/>
            </w:pPr>
          </w:p>
        </w:tc>
      </w:tr>
    </w:tbl>
    <w:p w:rsidR="001472C0" w:rsidRDefault="001472C0" w:rsidP="001472C0">
      <w:pPr>
        <w:pStyle w:val="Heading6"/>
      </w:pPr>
      <w:r>
        <w:t>Condiții de eligibilitate</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340"/>
      </w:tblGrid>
      <w:tr w:rsidR="001472C0" w:rsidTr="002119B5">
        <w:tc>
          <w:tcPr>
            <w:tcW w:w="12000" w:type="dxa"/>
            <w:shd w:val="clear" w:color="auto" w:fill="auto"/>
            <w:tcMar>
              <w:top w:w="20" w:type="dxa"/>
              <w:bottom w:w="20" w:type="dxa"/>
            </w:tcMar>
            <w:vAlign w:val="center"/>
          </w:tcPr>
          <w:p w:rsidR="001472C0" w:rsidRDefault="001472C0" w:rsidP="002119B5">
            <w:pPr>
              <w:spacing w:before="0" w:after="240"/>
              <w:jc w:val="left"/>
              <w:rPr>
                <w:szCs w:val="24"/>
              </w:rPr>
            </w:pPr>
            <w:r>
              <w:rPr>
                <w:b/>
                <w:bCs/>
                <w:szCs w:val="24"/>
              </w:rPr>
              <w:t>Condiții de eligibilitate</w:t>
            </w:r>
          </w:p>
          <w:p w:rsidR="001472C0" w:rsidRDefault="001472C0" w:rsidP="001472C0">
            <w:pPr>
              <w:numPr>
                <w:ilvl w:val="0"/>
                <w:numId w:val="6"/>
              </w:numPr>
              <w:spacing w:before="240" w:after="0"/>
              <w:ind w:hanging="210"/>
              <w:jc w:val="left"/>
              <w:rPr>
                <w:szCs w:val="24"/>
              </w:rPr>
            </w:pPr>
            <w:r>
              <w:rPr>
                <w:szCs w:val="24"/>
              </w:rPr>
              <w:t>Solicitantul trebuie să se încadreze în categoria beneficiarilor eligibili;</w:t>
            </w:r>
          </w:p>
          <w:p w:rsidR="001472C0" w:rsidRDefault="001472C0" w:rsidP="001472C0">
            <w:pPr>
              <w:numPr>
                <w:ilvl w:val="0"/>
                <w:numId w:val="6"/>
              </w:numPr>
              <w:spacing w:before="0" w:after="0"/>
              <w:ind w:hanging="210"/>
              <w:jc w:val="left"/>
              <w:rPr>
                <w:szCs w:val="24"/>
              </w:rPr>
            </w:pPr>
            <w:r>
              <w:rPr>
                <w:szCs w:val="24"/>
              </w:rPr>
              <w:t>Solicitantul trebuie să prezinte un plan de afaceri;</w:t>
            </w:r>
          </w:p>
          <w:p w:rsidR="001472C0" w:rsidRDefault="001472C0" w:rsidP="001472C0">
            <w:pPr>
              <w:numPr>
                <w:ilvl w:val="0"/>
                <w:numId w:val="6"/>
              </w:numPr>
              <w:spacing w:before="0" w:after="0"/>
              <w:ind w:hanging="210"/>
              <w:jc w:val="left"/>
              <w:rPr>
                <w:szCs w:val="24"/>
              </w:rPr>
            </w:pPr>
            <w:r>
              <w:rPr>
                <w:szCs w:val="24"/>
              </w:rPr>
              <w:t>Proiectul trebuie să se încadreze în cel puțin unul dintre tipurile de activități sprijinite prin sub-măsură;</w:t>
            </w:r>
          </w:p>
          <w:p w:rsidR="001472C0" w:rsidRDefault="001472C0" w:rsidP="001472C0">
            <w:pPr>
              <w:numPr>
                <w:ilvl w:val="0"/>
                <w:numId w:val="6"/>
              </w:numPr>
              <w:spacing w:before="0" w:after="0"/>
              <w:ind w:hanging="210"/>
              <w:jc w:val="left"/>
              <w:rPr>
                <w:szCs w:val="24"/>
              </w:rPr>
            </w:pPr>
            <w:r>
              <w:rPr>
                <w:szCs w:val="24"/>
              </w:rPr>
              <w:t>Sediul social și punctul/punctele de lucru trebuie să fie situate în spațiul rural iar activitatea va fi desfășurată în spațiul rural;</w:t>
            </w:r>
          </w:p>
          <w:p w:rsidR="001472C0" w:rsidRDefault="001472C0" w:rsidP="001472C0">
            <w:pPr>
              <w:numPr>
                <w:ilvl w:val="0"/>
                <w:numId w:val="6"/>
              </w:numPr>
              <w:spacing w:before="0" w:after="0"/>
              <w:ind w:hanging="210"/>
              <w:jc w:val="left"/>
              <w:rPr>
                <w:szCs w:val="24"/>
              </w:rPr>
            </w:pPr>
            <w:r>
              <w:rPr>
                <w:szCs w:val="24"/>
              </w:rPr>
              <w:t>Implementarea planului de afaceri trebuie să înceapă în cel mult 6 luni de la data deciziei de acordare a sprijinului.</w:t>
            </w:r>
          </w:p>
          <w:p w:rsidR="001472C0" w:rsidRDefault="001472C0" w:rsidP="001472C0">
            <w:pPr>
              <w:numPr>
                <w:ilvl w:val="0"/>
                <w:numId w:val="6"/>
              </w:numPr>
              <w:spacing w:before="0" w:after="240"/>
              <w:ind w:hanging="210"/>
              <w:jc w:val="left"/>
              <w:rPr>
                <w:szCs w:val="24"/>
              </w:rPr>
            </w:pPr>
            <w:r>
              <w:rPr>
                <w:szCs w:val="24"/>
              </w:rPr>
              <w:t>În cazul proiectelor din aria de aplicabilitate a ITI Delta Dunării, solicitantul va prezenta avizul de conformitate cu obiectivele SIDD DD.</w:t>
            </w:r>
          </w:p>
          <w:p w:rsidR="001472C0" w:rsidRDefault="001472C0" w:rsidP="002119B5">
            <w:pPr>
              <w:spacing w:before="240" w:after="240"/>
              <w:jc w:val="left"/>
              <w:rPr>
                <w:szCs w:val="24"/>
              </w:rPr>
            </w:pPr>
            <w:r>
              <w:rPr>
                <w:b/>
                <w:bCs/>
                <w:szCs w:val="24"/>
              </w:rPr>
              <w:t>Alte angajamente</w:t>
            </w:r>
          </w:p>
          <w:p w:rsidR="001472C0" w:rsidRDefault="001472C0" w:rsidP="002119B5">
            <w:pPr>
              <w:spacing w:before="240" w:after="240"/>
              <w:jc w:val="left"/>
              <w:rPr>
                <w:szCs w:val="24"/>
              </w:rPr>
            </w:pPr>
            <w:r>
              <w:rPr>
                <w:szCs w:val="24"/>
              </w:rPr>
              <w:t>Înaintea solicitării celei de-a doua tranșe de plată, solicitantul face dovada:</w:t>
            </w:r>
          </w:p>
          <w:p w:rsidR="001472C0" w:rsidRDefault="001472C0" w:rsidP="001472C0">
            <w:pPr>
              <w:numPr>
                <w:ilvl w:val="0"/>
                <w:numId w:val="7"/>
              </w:numPr>
              <w:spacing w:before="240" w:after="240"/>
              <w:ind w:hanging="210"/>
              <w:jc w:val="left"/>
              <w:rPr>
                <w:szCs w:val="24"/>
              </w:rPr>
            </w:pPr>
            <w:r>
              <w:rPr>
                <w:szCs w:val="24"/>
              </w:rPr>
              <w:lastRenderedPageBreak/>
              <w:t>desfășurării activităților comerciale prin producția comercializată sau prin activitățile prestate, în procent de minim 30% din valoarea primei tranșe de plată (cerința va fi verificată în momentul finalizării implementării planului de afaceri);</w:t>
            </w:r>
          </w:p>
          <w:p w:rsidR="001472C0" w:rsidRDefault="001472C0" w:rsidP="002119B5">
            <w:pPr>
              <w:pStyle w:val="BodyText"/>
            </w:pPr>
          </w:p>
        </w:tc>
      </w:tr>
    </w:tbl>
    <w:p w:rsidR="001472C0" w:rsidRDefault="001472C0" w:rsidP="001472C0">
      <w:pPr>
        <w:pStyle w:val="Heading6"/>
      </w:pPr>
      <w:r>
        <w:lastRenderedPageBreak/>
        <w:t>Principii în ceea ce privește stabilirea de criterii de selecție</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340"/>
      </w:tblGrid>
      <w:tr w:rsidR="001472C0" w:rsidTr="002119B5">
        <w:tc>
          <w:tcPr>
            <w:tcW w:w="12000" w:type="dxa"/>
            <w:shd w:val="clear" w:color="auto" w:fill="auto"/>
            <w:tcMar>
              <w:top w:w="20" w:type="dxa"/>
              <w:bottom w:w="20" w:type="dxa"/>
            </w:tcMar>
            <w:vAlign w:val="center"/>
          </w:tcPr>
          <w:p w:rsidR="001472C0" w:rsidRDefault="001472C0" w:rsidP="001472C0">
            <w:pPr>
              <w:numPr>
                <w:ilvl w:val="0"/>
                <w:numId w:val="8"/>
              </w:numPr>
              <w:spacing w:before="0" w:after="0"/>
              <w:ind w:hanging="210"/>
              <w:jc w:val="left"/>
              <w:rPr>
                <w:szCs w:val="24"/>
              </w:rPr>
            </w:pPr>
            <w:r>
              <w:rPr>
                <w:szCs w:val="24"/>
              </w:rPr>
              <w:t>Principiul diversificării activității agricole a fermierilor/membrilor gospodăriei agricole către activități non agricole;</w:t>
            </w:r>
          </w:p>
          <w:p w:rsidR="001472C0" w:rsidRDefault="001472C0" w:rsidP="001472C0">
            <w:pPr>
              <w:numPr>
                <w:ilvl w:val="0"/>
                <w:numId w:val="8"/>
              </w:numPr>
              <w:spacing w:before="0" w:after="0"/>
              <w:ind w:hanging="210"/>
              <w:jc w:val="left"/>
              <w:rPr>
                <w:szCs w:val="24"/>
              </w:rPr>
            </w:pPr>
            <w:r>
              <w:rPr>
                <w:szCs w:val="24"/>
              </w:rPr>
              <w:t>Principiul prioritizării activităților de producție;</w:t>
            </w:r>
          </w:p>
          <w:p w:rsidR="001472C0" w:rsidRDefault="001472C0" w:rsidP="001472C0">
            <w:pPr>
              <w:numPr>
                <w:ilvl w:val="0"/>
                <w:numId w:val="8"/>
              </w:numPr>
              <w:spacing w:before="0" w:after="0"/>
              <w:ind w:hanging="210"/>
              <w:jc w:val="left"/>
              <w:rPr>
                <w:szCs w:val="24"/>
              </w:rPr>
            </w:pPr>
            <w:r>
              <w:rPr>
                <w:szCs w:val="24"/>
              </w:rPr>
              <w:t>Principiul prioritizării serviciilor medicale (inclusiv stomatologice și sanitar - veterinare);</w:t>
            </w:r>
          </w:p>
          <w:p w:rsidR="001472C0" w:rsidRDefault="001472C0" w:rsidP="001472C0">
            <w:pPr>
              <w:numPr>
                <w:ilvl w:val="0"/>
                <w:numId w:val="8"/>
              </w:numPr>
              <w:spacing w:before="0" w:after="0"/>
              <w:ind w:hanging="210"/>
              <w:jc w:val="left"/>
              <w:rPr>
                <w:szCs w:val="24"/>
              </w:rPr>
            </w:pPr>
            <w:r>
              <w:rPr>
                <w:szCs w:val="24"/>
              </w:rPr>
              <w:t>Principiul prioritizării planurilor de afaceri care au ca obiectiv utilizarea mijloacelor de digitalizare pentru eficientizarea activității;</w:t>
            </w:r>
          </w:p>
          <w:p w:rsidR="001472C0" w:rsidRDefault="001472C0" w:rsidP="001472C0">
            <w:pPr>
              <w:numPr>
                <w:ilvl w:val="0"/>
                <w:numId w:val="8"/>
              </w:numPr>
              <w:spacing w:before="0" w:after="0"/>
              <w:ind w:hanging="210"/>
              <w:jc w:val="left"/>
              <w:rPr>
                <w:szCs w:val="24"/>
              </w:rPr>
            </w:pPr>
            <w:r>
              <w:rPr>
                <w:szCs w:val="24"/>
              </w:rPr>
              <w:t>Principiul prioritizării planurilor de afaceri care vizează acțiuni de protecția mediului;</w:t>
            </w:r>
          </w:p>
          <w:p w:rsidR="001472C0" w:rsidRDefault="001472C0" w:rsidP="001472C0">
            <w:pPr>
              <w:numPr>
                <w:ilvl w:val="0"/>
                <w:numId w:val="8"/>
              </w:numPr>
              <w:spacing w:before="0" w:after="0"/>
              <w:ind w:hanging="210"/>
              <w:jc w:val="left"/>
              <w:rPr>
                <w:szCs w:val="24"/>
              </w:rPr>
            </w:pPr>
            <w:r>
              <w:rPr>
                <w:szCs w:val="24"/>
              </w:rPr>
              <w:t>Principiul stimulării activităților turistice (cu excepția înființării/modernizării/extinderii de agropensiuni, pensiuni, hoteluri) și/sau de agrement și/sau unități de alimentație publică în zonele cu potențial turistic ridicat;</w:t>
            </w:r>
          </w:p>
          <w:p w:rsidR="001472C0" w:rsidRDefault="001472C0" w:rsidP="001472C0">
            <w:pPr>
              <w:numPr>
                <w:ilvl w:val="0"/>
                <w:numId w:val="8"/>
              </w:numPr>
              <w:spacing w:before="0" w:after="240"/>
              <w:ind w:hanging="210"/>
              <w:jc w:val="left"/>
              <w:rPr>
                <w:szCs w:val="24"/>
              </w:rPr>
            </w:pPr>
            <w:proofErr w:type="gramStart"/>
            <w:r>
              <w:rPr>
                <w:szCs w:val="24"/>
              </w:rPr>
              <w:t>Principiul  accesului</w:t>
            </w:r>
            <w:proofErr w:type="gramEnd"/>
            <w:r>
              <w:rPr>
                <w:szCs w:val="24"/>
              </w:rPr>
              <w:t xml:space="preserve"> la finanțare, în sensul prioritizării solicitanților care nu au  beneficiat de finanțare în perioada de programare 2014 – 2020 prin PNDR (sM 6.2, 6.4 și măsură similară din 19.2);</w:t>
            </w:r>
          </w:p>
          <w:p w:rsidR="001472C0" w:rsidRDefault="001472C0" w:rsidP="002119B5">
            <w:pPr>
              <w:spacing w:before="240" w:after="240"/>
              <w:jc w:val="left"/>
              <w:rPr>
                <w:szCs w:val="24"/>
              </w:rPr>
            </w:pPr>
            <w:r>
              <w:rPr>
                <w:szCs w:val="24"/>
              </w:rPr>
              <w:t> </w:t>
            </w:r>
          </w:p>
          <w:p w:rsidR="001472C0" w:rsidRDefault="001472C0" w:rsidP="002119B5">
            <w:pPr>
              <w:spacing w:before="240" w:after="240"/>
              <w:jc w:val="left"/>
              <w:rPr>
                <w:szCs w:val="24"/>
              </w:rPr>
            </w:pPr>
            <w:r>
              <w:rPr>
                <w:i/>
                <w:iCs/>
                <w:szCs w:val="24"/>
              </w:rPr>
              <w:t>Principiile de selecție vor fi detaliate suplimentar în legislația națională subsecventă și vor avea în vedere prevederile art. 49 al R (UE) nr. 1305/2013 urmărind să asigure tratamentul egal al solicitanților, o mai bună utilizare a resurselor financiare și direcționarea acestora în conformitate cu prioritățile Uniunii în materie de dezvoltare rurală.</w:t>
            </w:r>
          </w:p>
          <w:p w:rsidR="001472C0" w:rsidRDefault="001472C0" w:rsidP="002119B5">
            <w:pPr>
              <w:pStyle w:val="BodyText"/>
            </w:pPr>
          </w:p>
        </w:tc>
      </w:tr>
    </w:tbl>
    <w:p w:rsidR="001472C0" w:rsidRDefault="001472C0" w:rsidP="001472C0">
      <w:pPr>
        <w:pStyle w:val="Heading6"/>
      </w:pPr>
      <w:r>
        <w:t>Sume (aplicabile) și rata sprijinului</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340"/>
      </w:tblGrid>
      <w:tr w:rsidR="001472C0" w:rsidTr="002119B5">
        <w:tc>
          <w:tcPr>
            <w:tcW w:w="12000" w:type="dxa"/>
            <w:shd w:val="clear" w:color="auto" w:fill="auto"/>
            <w:tcMar>
              <w:top w:w="20" w:type="dxa"/>
              <w:bottom w:w="20" w:type="dxa"/>
            </w:tcMar>
            <w:vAlign w:val="center"/>
          </w:tcPr>
          <w:p w:rsidR="001472C0" w:rsidRDefault="001472C0" w:rsidP="002119B5">
            <w:pPr>
              <w:spacing w:before="0" w:after="240"/>
              <w:jc w:val="left"/>
              <w:rPr>
                <w:szCs w:val="24"/>
              </w:rPr>
            </w:pPr>
            <w:r>
              <w:rPr>
                <w:szCs w:val="24"/>
              </w:rPr>
              <w:t xml:space="preserve">Sprijinul public nerambursabil va respecta prevederile R (CE) nr.1407/2013 cu privire la sprijinul de minimis și nu va depăși </w:t>
            </w:r>
            <w:r>
              <w:rPr>
                <w:b/>
                <w:bCs/>
                <w:szCs w:val="24"/>
              </w:rPr>
              <w:t xml:space="preserve">200.000 de euro/beneficiar </w:t>
            </w:r>
            <w:r>
              <w:rPr>
                <w:szCs w:val="24"/>
              </w:rPr>
              <w:t>pe 3 ani fiscali.</w:t>
            </w:r>
          </w:p>
          <w:p w:rsidR="001472C0" w:rsidRDefault="001472C0" w:rsidP="002119B5">
            <w:pPr>
              <w:spacing w:before="240" w:after="240"/>
              <w:jc w:val="left"/>
              <w:rPr>
                <w:szCs w:val="24"/>
              </w:rPr>
            </w:pPr>
            <w:r>
              <w:rPr>
                <w:szCs w:val="24"/>
              </w:rPr>
              <w:t xml:space="preserve">Cuantumul sprijinului este de </w:t>
            </w:r>
            <w:r>
              <w:rPr>
                <w:b/>
                <w:bCs/>
                <w:szCs w:val="24"/>
              </w:rPr>
              <w:t>50.000 de euro/proiect</w:t>
            </w:r>
            <w:r>
              <w:rPr>
                <w:szCs w:val="24"/>
              </w:rPr>
              <w:t>, cu posibilitatea majorării sprijinului la valoarea de 70.000 de euro/proiect în cazul activităților de producție.</w:t>
            </w:r>
          </w:p>
          <w:p w:rsidR="001472C0" w:rsidRDefault="001472C0" w:rsidP="002119B5">
            <w:pPr>
              <w:spacing w:before="240" w:after="240"/>
              <w:jc w:val="left"/>
              <w:rPr>
                <w:szCs w:val="24"/>
              </w:rPr>
            </w:pPr>
            <w:r>
              <w:rPr>
                <w:szCs w:val="24"/>
              </w:rPr>
              <w:t>Sprijinul pentru înfiinţarea de activităţi nonagricole în zone rurale se va acorda, sub formă de primă, în două tranşe astfel:</w:t>
            </w:r>
          </w:p>
          <w:p w:rsidR="001472C0" w:rsidRDefault="001472C0" w:rsidP="001472C0">
            <w:pPr>
              <w:numPr>
                <w:ilvl w:val="0"/>
                <w:numId w:val="9"/>
              </w:numPr>
              <w:spacing w:before="240" w:after="0"/>
              <w:ind w:hanging="210"/>
              <w:jc w:val="left"/>
              <w:rPr>
                <w:szCs w:val="24"/>
              </w:rPr>
            </w:pPr>
            <w:r>
              <w:rPr>
                <w:szCs w:val="24"/>
              </w:rPr>
              <w:t>70% din cuantumul sprijinului la semnarea deciziei de finanțare;</w:t>
            </w:r>
          </w:p>
          <w:p w:rsidR="001472C0" w:rsidRDefault="001472C0" w:rsidP="001472C0">
            <w:pPr>
              <w:numPr>
                <w:ilvl w:val="0"/>
                <w:numId w:val="9"/>
              </w:numPr>
              <w:spacing w:before="0" w:after="240"/>
              <w:ind w:hanging="210"/>
              <w:jc w:val="left"/>
              <w:rPr>
                <w:szCs w:val="24"/>
              </w:rPr>
            </w:pPr>
            <w:r>
              <w:rPr>
                <w:szCs w:val="24"/>
              </w:rPr>
              <w:t>30% din cuantumul sprijinului se va acorda în funcție de implementarea corectă a planului de afaceri.</w:t>
            </w:r>
          </w:p>
          <w:p w:rsidR="001472C0" w:rsidRDefault="001472C0" w:rsidP="002119B5">
            <w:pPr>
              <w:spacing w:before="240" w:after="240"/>
              <w:jc w:val="left"/>
              <w:rPr>
                <w:szCs w:val="24"/>
              </w:rPr>
            </w:pPr>
            <w:r>
              <w:rPr>
                <w:szCs w:val="24"/>
              </w:rPr>
              <w:lastRenderedPageBreak/>
              <w:t>Perioada de implementare a Planului de Afaceri este de maximum 3 ani și include controlul implementării corecte precum și plata ultimei tranșe.</w:t>
            </w:r>
          </w:p>
          <w:p w:rsidR="001472C0" w:rsidRDefault="001472C0" w:rsidP="002119B5">
            <w:pPr>
              <w:spacing w:before="240" w:after="240"/>
              <w:jc w:val="left"/>
              <w:rPr>
                <w:szCs w:val="24"/>
              </w:rPr>
            </w:pPr>
            <w:r>
              <w:rPr>
                <w:szCs w:val="24"/>
              </w:rPr>
              <w:t>Cea de-a doua tranșă de plată va fi efectuată până la data de 31 decembrie 2025.</w:t>
            </w:r>
          </w:p>
          <w:p w:rsidR="001472C0" w:rsidRDefault="001472C0" w:rsidP="002119B5">
            <w:pPr>
              <w:spacing w:before="240" w:after="240"/>
              <w:jc w:val="left"/>
              <w:rPr>
                <w:szCs w:val="24"/>
              </w:rPr>
            </w:pPr>
            <w:r>
              <w:rPr>
                <w:szCs w:val="24"/>
              </w:rPr>
              <w:t>Acordarea sprijinului va fi proporțională cu gradul de îndeplinire a planului de afaceri.</w:t>
            </w:r>
          </w:p>
          <w:p w:rsidR="001472C0" w:rsidRDefault="001472C0" w:rsidP="002119B5">
            <w:pPr>
              <w:spacing w:before="240" w:after="240"/>
              <w:jc w:val="left"/>
              <w:rPr>
                <w:szCs w:val="24"/>
              </w:rPr>
            </w:pPr>
            <w:r>
              <w:rPr>
                <w:szCs w:val="24"/>
              </w:rPr>
              <w:t> </w:t>
            </w:r>
          </w:p>
          <w:p w:rsidR="001472C0" w:rsidRDefault="001472C0" w:rsidP="002119B5">
            <w:pPr>
              <w:pStyle w:val="BodyText"/>
            </w:pPr>
          </w:p>
        </w:tc>
      </w:tr>
    </w:tbl>
    <w:p w:rsidR="001472C0" w:rsidRDefault="001472C0" w:rsidP="001472C0">
      <w:pPr>
        <w:pStyle w:val="Heading6"/>
      </w:pPr>
      <w:r>
        <w:lastRenderedPageBreak/>
        <w:t>Posibilitatea de a verifica și a controla măsurile și/sau tipurile de operațiuni</w:t>
      </w:r>
    </w:p>
    <w:p w:rsidR="001472C0" w:rsidRDefault="001472C0" w:rsidP="001472C0">
      <w:pPr>
        <w:pStyle w:val="Heading7"/>
      </w:pPr>
      <w:r>
        <w:t>Riscul (riscurile) în implementarea măsurilor</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340"/>
      </w:tblGrid>
      <w:tr w:rsidR="001472C0" w:rsidTr="002119B5">
        <w:tc>
          <w:tcPr>
            <w:tcW w:w="12000" w:type="dxa"/>
            <w:shd w:val="clear" w:color="auto" w:fill="auto"/>
            <w:tcMar>
              <w:top w:w="20" w:type="dxa"/>
              <w:bottom w:w="20" w:type="dxa"/>
            </w:tcMar>
            <w:vAlign w:val="center"/>
          </w:tcPr>
          <w:p w:rsidR="001472C0" w:rsidRDefault="001472C0" w:rsidP="002119B5">
            <w:pPr>
              <w:spacing w:before="0" w:after="240"/>
              <w:jc w:val="left"/>
              <w:rPr>
                <w:szCs w:val="24"/>
              </w:rPr>
            </w:pPr>
            <w:r>
              <w:rPr>
                <w:szCs w:val="24"/>
              </w:rPr>
              <w:t>Riscurile generale sunt identificate și menționate în secţiunea corespunzătoare a M6. În ceea ce privește riscurile specifice identificate în cadrul sM 6.2, trebuie menționate:</w:t>
            </w:r>
          </w:p>
          <w:p w:rsidR="001472C0" w:rsidRDefault="001472C0" w:rsidP="001472C0">
            <w:pPr>
              <w:numPr>
                <w:ilvl w:val="0"/>
                <w:numId w:val="10"/>
              </w:numPr>
              <w:spacing w:before="240" w:after="0"/>
              <w:ind w:hanging="210"/>
              <w:jc w:val="left"/>
              <w:rPr>
                <w:szCs w:val="24"/>
              </w:rPr>
            </w:pPr>
            <w:r>
              <w:rPr>
                <w:szCs w:val="24"/>
              </w:rPr>
              <w:t>Riscul neîndeplinirii obiectivelor stabilite în planul de afaceri;</w:t>
            </w:r>
          </w:p>
          <w:p w:rsidR="001472C0" w:rsidRDefault="001472C0" w:rsidP="001472C0">
            <w:pPr>
              <w:numPr>
                <w:ilvl w:val="0"/>
                <w:numId w:val="10"/>
              </w:numPr>
              <w:spacing w:before="0" w:after="240"/>
              <w:ind w:hanging="210"/>
              <w:jc w:val="left"/>
              <w:rPr>
                <w:szCs w:val="24"/>
              </w:rPr>
            </w:pPr>
            <w:r>
              <w:rPr>
                <w:szCs w:val="24"/>
              </w:rPr>
              <w:t>Riscul finanțării microîntrepriderilor și întreprinderilor mici existente în spațiul rural, care propun activități non-agricole complementare activității de bază (dezvoltare). </w:t>
            </w:r>
          </w:p>
          <w:p w:rsidR="001472C0" w:rsidRDefault="001472C0" w:rsidP="002119B5">
            <w:pPr>
              <w:pStyle w:val="BodyText"/>
            </w:pPr>
          </w:p>
        </w:tc>
      </w:tr>
    </w:tbl>
    <w:p w:rsidR="001472C0" w:rsidRDefault="001472C0" w:rsidP="001472C0">
      <w:pPr>
        <w:pStyle w:val="Heading7"/>
      </w:pPr>
      <w:r>
        <w:t>Măsuri de atenuare</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340"/>
      </w:tblGrid>
      <w:tr w:rsidR="001472C0" w:rsidTr="002119B5">
        <w:tc>
          <w:tcPr>
            <w:tcW w:w="12000" w:type="dxa"/>
            <w:shd w:val="clear" w:color="auto" w:fill="auto"/>
            <w:tcMar>
              <w:top w:w="20" w:type="dxa"/>
              <w:bottom w:w="20" w:type="dxa"/>
            </w:tcMar>
            <w:vAlign w:val="center"/>
          </w:tcPr>
          <w:p w:rsidR="001472C0" w:rsidRDefault="001472C0" w:rsidP="002119B5">
            <w:pPr>
              <w:spacing w:before="0" w:after="240"/>
              <w:jc w:val="left"/>
              <w:rPr>
                <w:szCs w:val="24"/>
              </w:rPr>
            </w:pPr>
            <w:r>
              <w:rPr>
                <w:szCs w:val="24"/>
              </w:rPr>
              <w:t>Acțiunile care vor fi întreprinse pentru a îmbunătăți implementarea sub-măsurii și a reduce riscurile sunt:</w:t>
            </w:r>
          </w:p>
          <w:p w:rsidR="001472C0" w:rsidRDefault="001472C0" w:rsidP="001472C0">
            <w:pPr>
              <w:numPr>
                <w:ilvl w:val="0"/>
                <w:numId w:val="11"/>
              </w:numPr>
              <w:spacing w:before="240" w:after="0"/>
              <w:ind w:hanging="210"/>
              <w:jc w:val="left"/>
              <w:rPr>
                <w:szCs w:val="24"/>
              </w:rPr>
            </w:pPr>
            <w:r>
              <w:rPr>
                <w:szCs w:val="24"/>
              </w:rPr>
              <w:t>Pentru a evita problemele rezultate din nerespectarea planului de afaceri, a doua tranșă de plată se va realiza după verificarea îndeplinirii obiectivelor din planul de afaceri. În cazul neîndeplinirii, sprijinul va fi recuperat/acordat proporțional cu obiectivele nerealizate;</w:t>
            </w:r>
          </w:p>
          <w:p w:rsidR="001472C0" w:rsidRDefault="001472C0" w:rsidP="001472C0">
            <w:pPr>
              <w:numPr>
                <w:ilvl w:val="0"/>
                <w:numId w:val="11"/>
              </w:numPr>
              <w:spacing w:before="0" w:after="240"/>
              <w:ind w:hanging="210"/>
              <w:jc w:val="left"/>
              <w:rPr>
                <w:szCs w:val="24"/>
              </w:rPr>
            </w:pPr>
            <w:r>
              <w:rPr>
                <w:szCs w:val="24"/>
              </w:rPr>
              <w:t>Pentru a evita finanțarea unor activități complementare activității de bază, se vor realiza verificări ale codurilor CAEN aferente activităților pentru care se solicită finanțare, precum și ale codurilor CAEN ale activității de bază ale întreprinderii. Vor fi elaborate proceduri clare si detaliate pentru un control eficient în toate fazele implementării.</w:t>
            </w:r>
          </w:p>
          <w:p w:rsidR="001472C0" w:rsidRDefault="001472C0" w:rsidP="002119B5">
            <w:pPr>
              <w:pStyle w:val="BodyText"/>
            </w:pPr>
          </w:p>
        </w:tc>
      </w:tr>
    </w:tbl>
    <w:p w:rsidR="001472C0" w:rsidRDefault="001472C0" w:rsidP="001472C0">
      <w:pPr>
        <w:pStyle w:val="Heading7"/>
      </w:pPr>
      <w:r>
        <w:t>Evaluarea globală a măsurii;</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340"/>
      </w:tblGrid>
      <w:tr w:rsidR="001472C0" w:rsidTr="002119B5">
        <w:tc>
          <w:tcPr>
            <w:tcW w:w="12000" w:type="dxa"/>
            <w:shd w:val="clear" w:color="auto" w:fill="auto"/>
            <w:tcMar>
              <w:top w:w="20" w:type="dxa"/>
              <w:bottom w:w="20" w:type="dxa"/>
            </w:tcMar>
            <w:vAlign w:val="center"/>
          </w:tcPr>
          <w:p w:rsidR="001472C0" w:rsidRDefault="001472C0" w:rsidP="002119B5">
            <w:pPr>
              <w:spacing w:before="0" w:after="240"/>
              <w:jc w:val="left"/>
              <w:rPr>
                <w:szCs w:val="24"/>
              </w:rPr>
            </w:pPr>
            <w:r>
              <w:rPr>
                <w:szCs w:val="24"/>
              </w:rPr>
              <w:t>-</w:t>
            </w:r>
          </w:p>
          <w:p w:rsidR="001472C0" w:rsidRDefault="001472C0" w:rsidP="002119B5">
            <w:pPr>
              <w:pStyle w:val="BodyText"/>
            </w:pPr>
          </w:p>
        </w:tc>
      </w:tr>
    </w:tbl>
    <w:p w:rsidR="001472C0" w:rsidRDefault="001472C0" w:rsidP="001472C0">
      <w:pPr>
        <w:pStyle w:val="Heading6"/>
      </w:pPr>
      <w:r>
        <w:lastRenderedPageBreak/>
        <w:t>Metodologia de calculare a cuantumului sprijinului, dacă este relevant</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340"/>
      </w:tblGrid>
      <w:tr w:rsidR="001472C0" w:rsidTr="002119B5">
        <w:tc>
          <w:tcPr>
            <w:tcW w:w="12000" w:type="dxa"/>
            <w:shd w:val="clear" w:color="auto" w:fill="auto"/>
            <w:tcMar>
              <w:top w:w="20" w:type="dxa"/>
              <w:bottom w:w="20" w:type="dxa"/>
            </w:tcMar>
            <w:vAlign w:val="center"/>
          </w:tcPr>
          <w:p w:rsidR="001472C0" w:rsidRDefault="001472C0" w:rsidP="002119B5">
            <w:pPr>
              <w:spacing w:before="0" w:after="240"/>
              <w:jc w:val="left"/>
              <w:rPr>
                <w:szCs w:val="24"/>
              </w:rPr>
            </w:pPr>
            <w:r>
              <w:rPr>
                <w:szCs w:val="24"/>
              </w:rPr>
              <w:t>Nu se aplică.</w:t>
            </w:r>
          </w:p>
          <w:p w:rsidR="001472C0" w:rsidRDefault="001472C0" w:rsidP="002119B5">
            <w:pPr>
              <w:pStyle w:val="BodyText"/>
            </w:pPr>
          </w:p>
        </w:tc>
      </w:tr>
    </w:tbl>
    <w:p w:rsidR="001472C0" w:rsidRDefault="001472C0" w:rsidP="001472C0">
      <w:pPr>
        <w:pStyle w:val="Heading6"/>
      </w:pPr>
      <w:r>
        <w:t>Informații suplimentare specifice operațiunii</w:t>
      </w:r>
    </w:p>
    <w:p w:rsidR="001472C0" w:rsidRDefault="001472C0" w:rsidP="001472C0">
      <w:r>
        <w:t>Definirea fermelor mici menționate la articolul 19 alineatul (1) litera (a) punctul (iii) din Regulamentul (UE) nr. 1305/2013</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340"/>
      </w:tblGrid>
      <w:tr w:rsidR="001472C0" w:rsidTr="002119B5">
        <w:tc>
          <w:tcPr>
            <w:tcW w:w="12000" w:type="dxa"/>
            <w:shd w:val="clear" w:color="auto" w:fill="auto"/>
            <w:tcMar>
              <w:top w:w="20" w:type="dxa"/>
              <w:bottom w:w="20" w:type="dxa"/>
            </w:tcMar>
            <w:vAlign w:val="center"/>
          </w:tcPr>
          <w:p w:rsidR="001472C0" w:rsidRDefault="001472C0" w:rsidP="002119B5">
            <w:pPr>
              <w:spacing w:before="0" w:after="240"/>
              <w:jc w:val="left"/>
              <w:rPr>
                <w:szCs w:val="24"/>
              </w:rPr>
            </w:pPr>
            <w:r>
              <w:rPr>
                <w:szCs w:val="24"/>
              </w:rPr>
              <w:t>Nu se aplică.</w:t>
            </w:r>
          </w:p>
          <w:p w:rsidR="001472C0" w:rsidRDefault="001472C0" w:rsidP="002119B5">
            <w:pPr>
              <w:pStyle w:val="BodyText"/>
            </w:pPr>
          </w:p>
        </w:tc>
      </w:tr>
    </w:tbl>
    <w:p w:rsidR="001472C0" w:rsidRDefault="001472C0" w:rsidP="001472C0">
      <w:r>
        <w:t>Definirea pragurilor inferioare și superioare menționate la articolul 19 alineatul (4) al treilea paragraf din Regulamentul (UE) nr. 1305/2013</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340"/>
      </w:tblGrid>
      <w:tr w:rsidR="001472C0" w:rsidTr="002119B5">
        <w:tc>
          <w:tcPr>
            <w:tcW w:w="12000" w:type="dxa"/>
            <w:shd w:val="clear" w:color="auto" w:fill="auto"/>
            <w:tcMar>
              <w:top w:w="20" w:type="dxa"/>
              <w:bottom w:w="20" w:type="dxa"/>
            </w:tcMar>
            <w:vAlign w:val="center"/>
          </w:tcPr>
          <w:p w:rsidR="001472C0" w:rsidRDefault="001472C0" w:rsidP="002119B5">
            <w:pPr>
              <w:spacing w:before="0" w:after="240"/>
              <w:jc w:val="left"/>
              <w:rPr>
                <w:szCs w:val="24"/>
              </w:rPr>
            </w:pPr>
            <w:r>
              <w:rPr>
                <w:szCs w:val="24"/>
              </w:rPr>
              <w:t>Nu se aplică.</w:t>
            </w:r>
          </w:p>
          <w:p w:rsidR="001472C0" w:rsidRDefault="001472C0" w:rsidP="002119B5">
            <w:pPr>
              <w:spacing w:before="240" w:after="240"/>
              <w:jc w:val="left"/>
              <w:rPr>
                <w:szCs w:val="24"/>
              </w:rPr>
            </w:pPr>
            <w:r>
              <w:rPr>
                <w:szCs w:val="24"/>
              </w:rPr>
              <w:br/>
              <w:t> </w:t>
            </w:r>
          </w:p>
          <w:p w:rsidR="001472C0" w:rsidRDefault="001472C0" w:rsidP="002119B5">
            <w:pPr>
              <w:pStyle w:val="BodyText"/>
            </w:pPr>
          </w:p>
        </w:tc>
      </w:tr>
    </w:tbl>
    <w:p w:rsidR="001472C0" w:rsidRDefault="001472C0" w:rsidP="001472C0">
      <w:r>
        <w:t>Condiții specifice privind sprijinul acordat tinerilor fermieri, în cazul în care aceștia nu se stabilesc ca șefi unici al exploatației în conformitate cu articolul 2 alineatele (1) și (2) din [Regulamentul Delegat 807/2014</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340"/>
      </w:tblGrid>
      <w:tr w:rsidR="001472C0" w:rsidTr="002119B5">
        <w:tc>
          <w:tcPr>
            <w:tcW w:w="12000" w:type="dxa"/>
            <w:shd w:val="clear" w:color="auto" w:fill="auto"/>
            <w:tcMar>
              <w:top w:w="20" w:type="dxa"/>
              <w:bottom w:w="20" w:type="dxa"/>
            </w:tcMar>
            <w:vAlign w:val="center"/>
          </w:tcPr>
          <w:p w:rsidR="001472C0" w:rsidRDefault="001472C0" w:rsidP="002119B5">
            <w:pPr>
              <w:spacing w:before="0" w:after="240"/>
              <w:jc w:val="left"/>
              <w:rPr>
                <w:szCs w:val="24"/>
              </w:rPr>
            </w:pPr>
            <w:r>
              <w:rPr>
                <w:szCs w:val="24"/>
              </w:rPr>
              <w:t>Nu se aplică.</w:t>
            </w:r>
          </w:p>
          <w:p w:rsidR="001472C0" w:rsidRDefault="001472C0" w:rsidP="002119B5">
            <w:pPr>
              <w:spacing w:before="240" w:after="240"/>
              <w:jc w:val="left"/>
              <w:rPr>
                <w:szCs w:val="24"/>
              </w:rPr>
            </w:pPr>
            <w:r>
              <w:rPr>
                <w:szCs w:val="24"/>
              </w:rPr>
              <w:t> </w:t>
            </w:r>
          </w:p>
          <w:p w:rsidR="001472C0" w:rsidRDefault="001472C0" w:rsidP="002119B5">
            <w:pPr>
              <w:pStyle w:val="BodyText"/>
            </w:pPr>
          </w:p>
        </w:tc>
      </w:tr>
    </w:tbl>
    <w:p w:rsidR="001472C0" w:rsidRDefault="001472C0" w:rsidP="001472C0">
      <w:r>
        <w:t>Informații privind aplicarea perioadei de grație menționate la articolul 2 alineatul (3) din Regulamentul delegat nr. 807/2014</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340"/>
      </w:tblGrid>
      <w:tr w:rsidR="001472C0" w:rsidTr="002119B5">
        <w:tc>
          <w:tcPr>
            <w:tcW w:w="12000" w:type="dxa"/>
            <w:shd w:val="clear" w:color="auto" w:fill="auto"/>
            <w:tcMar>
              <w:top w:w="20" w:type="dxa"/>
              <w:bottom w:w="20" w:type="dxa"/>
            </w:tcMar>
            <w:vAlign w:val="center"/>
          </w:tcPr>
          <w:p w:rsidR="001472C0" w:rsidRDefault="001472C0" w:rsidP="002119B5">
            <w:pPr>
              <w:spacing w:before="0" w:after="240"/>
              <w:jc w:val="left"/>
              <w:rPr>
                <w:szCs w:val="24"/>
              </w:rPr>
            </w:pPr>
            <w:r>
              <w:rPr>
                <w:szCs w:val="24"/>
              </w:rPr>
              <w:t>Nu se aplică.</w:t>
            </w:r>
          </w:p>
          <w:p w:rsidR="001472C0" w:rsidRDefault="001472C0" w:rsidP="002119B5">
            <w:pPr>
              <w:spacing w:before="240" w:after="240"/>
              <w:jc w:val="left"/>
              <w:rPr>
                <w:szCs w:val="24"/>
              </w:rPr>
            </w:pPr>
            <w:r>
              <w:rPr>
                <w:szCs w:val="24"/>
              </w:rPr>
              <w:t> </w:t>
            </w:r>
          </w:p>
          <w:p w:rsidR="001472C0" w:rsidRDefault="001472C0" w:rsidP="002119B5">
            <w:pPr>
              <w:pStyle w:val="BodyText"/>
            </w:pPr>
          </w:p>
        </w:tc>
      </w:tr>
    </w:tbl>
    <w:p w:rsidR="001472C0" w:rsidRDefault="001472C0" w:rsidP="001472C0">
      <w:r>
        <w:t>Rezumatul cerințelor planului de afaceri</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340"/>
      </w:tblGrid>
      <w:tr w:rsidR="001472C0" w:rsidTr="002119B5">
        <w:tc>
          <w:tcPr>
            <w:tcW w:w="12000" w:type="dxa"/>
            <w:shd w:val="clear" w:color="auto" w:fill="auto"/>
            <w:tcMar>
              <w:top w:w="20" w:type="dxa"/>
              <w:bottom w:w="20" w:type="dxa"/>
            </w:tcMar>
            <w:vAlign w:val="center"/>
          </w:tcPr>
          <w:p w:rsidR="001472C0" w:rsidRDefault="001472C0" w:rsidP="002119B5">
            <w:pPr>
              <w:spacing w:before="0" w:after="240"/>
              <w:jc w:val="left"/>
              <w:rPr>
                <w:szCs w:val="24"/>
              </w:rPr>
            </w:pPr>
            <w:r>
              <w:rPr>
                <w:szCs w:val="24"/>
              </w:rPr>
              <w:t>Planul de afaceri va include cel puțin următoarele:</w:t>
            </w:r>
          </w:p>
          <w:p w:rsidR="001472C0" w:rsidRDefault="001472C0" w:rsidP="001472C0">
            <w:pPr>
              <w:numPr>
                <w:ilvl w:val="0"/>
                <w:numId w:val="12"/>
              </w:numPr>
              <w:spacing w:before="240" w:after="0"/>
              <w:ind w:hanging="210"/>
              <w:jc w:val="left"/>
              <w:rPr>
                <w:szCs w:val="24"/>
              </w:rPr>
            </w:pPr>
            <w:r>
              <w:rPr>
                <w:szCs w:val="24"/>
              </w:rPr>
              <w:t>Prezentarea situației economice inițiale a beneficiarului care solicită sprijinul;</w:t>
            </w:r>
          </w:p>
          <w:p w:rsidR="001472C0" w:rsidRDefault="001472C0" w:rsidP="001472C0">
            <w:pPr>
              <w:numPr>
                <w:ilvl w:val="0"/>
                <w:numId w:val="12"/>
              </w:numPr>
              <w:spacing w:before="0" w:after="0"/>
              <w:ind w:hanging="210"/>
              <w:jc w:val="left"/>
              <w:rPr>
                <w:szCs w:val="24"/>
              </w:rPr>
            </w:pPr>
            <w:r>
              <w:rPr>
                <w:szCs w:val="24"/>
              </w:rPr>
              <w:lastRenderedPageBreak/>
              <w:t>Prezentarea etapelor și obiectivelor propuse pentru dezvoltarea noilor activități ale beneficiarului;</w:t>
            </w:r>
          </w:p>
          <w:p w:rsidR="001472C0" w:rsidRDefault="001472C0" w:rsidP="001472C0">
            <w:pPr>
              <w:numPr>
                <w:ilvl w:val="0"/>
                <w:numId w:val="12"/>
              </w:numPr>
              <w:spacing w:before="0" w:after="240"/>
              <w:ind w:hanging="210"/>
              <w:jc w:val="left"/>
              <w:rPr>
                <w:szCs w:val="24"/>
              </w:rPr>
            </w:pPr>
            <w:r>
              <w:rPr>
                <w:szCs w:val="24"/>
              </w:rPr>
              <w:t>Prezentarea detaliată a acțiunilor și resurselor aferente (materiale, umane și financiare) necesare pentru dezvoltarea activităților beneficiarului, cum ar fi investițiile, formarea sau consilierea, care să contribuie la dezvoltarea activităților întreprinderii, inclusiv crearea sau dezvoltarea de noi abilități/competențe ale angajaților.</w:t>
            </w:r>
          </w:p>
          <w:p w:rsidR="001472C0" w:rsidRDefault="001472C0" w:rsidP="002119B5">
            <w:pPr>
              <w:pStyle w:val="BodyText"/>
            </w:pPr>
          </w:p>
        </w:tc>
      </w:tr>
    </w:tbl>
    <w:p w:rsidR="001472C0" w:rsidRDefault="001472C0" w:rsidP="001472C0">
      <w:r>
        <w:lastRenderedPageBreak/>
        <w:t>Utilizarea posibilității de a combina diferite măsuri prin intermediul unui plan de dezvoltare care să permită accesul tânărului agricultor la aceste măsuri</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340"/>
      </w:tblGrid>
      <w:tr w:rsidR="001472C0" w:rsidTr="002119B5">
        <w:tc>
          <w:tcPr>
            <w:tcW w:w="12000" w:type="dxa"/>
            <w:shd w:val="clear" w:color="auto" w:fill="auto"/>
            <w:tcMar>
              <w:top w:w="20" w:type="dxa"/>
              <w:bottom w:w="20" w:type="dxa"/>
            </w:tcMar>
            <w:vAlign w:val="center"/>
          </w:tcPr>
          <w:p w:rsidR="001472C0" w:rsidRDefault="001472C0" w:rsidP="002119B5">
            <w:pPr>
              <w:spacing w:before="0" w:after="240"/>
              <w:jc w:val="left"/>
              <w:rPr>
                <w:szCs w:val="24"/>
              </w:rPr>
            </w:pPr>
            <w:r>
              <w:rPr>
                <w:szCs w:val="24"/>
              </w:rPr>
              <w:t>Nu se aplică.</w:t>
            </w:r>
          </w:p>
          <w:p w:rsidR="001472C0" w:rsidRDefault="001472C0" w:rsidP="002119B5">
            <w:pPr>
              <w:pStyle w:val="BodyText"/>
            </w:pPr>
          </w:p>
        </w:tc>
      </w:tr>
    </w:tbl>
    <w:p w:rsidR="001472C0" w:rsidRDefault="001472C0" w:rsidP="001472C0">
      <w:r>
        <w:t>Domeniile de diversificare acoperite</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340"/>
      </w:tblGrid>
      <w:tr w:rsidR="001472C0" w:rsidTr="002119B5">
        <w:tc>
          <w:tcPr>
            <w:tcW w:w="12000" w:type="dxa"/>
            <w:shd w:val="clear" w:color="auto" w:fill="auto"/>
            <w:tcMar>
              <w:top w:w="20" w:type="dxa"/>
              <w:bottom w:w="20" w:type="dxa"/>
            </w:tcMar>
            <w:vAlign w:val="center"/>
          </w:tcPr>
          <w:p w:rsidR="001472C0" w:rsidRDefault="001472C0" w:rsidP="002119B5">
            <w:pPr>
              <w:spacing w:before="0" w:after="240"/>
              <w:jc w:val="left"/>
              <w:rPr>
                <w:szCs w:val="24"/>
              </w:rPr>
            </w:pPr>
            <w:r>
              <w:rPr>
                <w:szCs w:val="24"/>
              </w:rPr>
              <w:t>Domeniile de diversificare acoperite în cadrul submăsurii sunt:</w:t>
            </w:r>
          </w:p>
          <w:p w:rsidR="001472C0" w:rsidRDefault="001472C0" w:rsidP="001472C0">
            <w:pPr>
              <w:numPr>
                <w:ilvl w:val="0"/>
                <w:numId w:val="13"/>
              </w:numPr>
              <w:spacing w:before="240" w:after="0"/>
              <w:ind w:hanging="210"/>
              <w:jc w:val="left"/>
              <w:rPr>
                <w:szCs w:val="24"/>
              </w:rPr>
            </w:pPr>
            <w:r>
              <w:rPr>
                <w:szCs w:val="24"/>
              </w:rPr>
              <w:t>Activități de producție (ex: fabricarea produselor textile, îmbrăcăminte, articole de marochinărie, articole de hârtie și carton; fabricarea produselor chimice, farmaceutice; activități de prelucrare a produselor lemnoase; industrie metalurgică, fabricare construcții metalice, mașini, utilaje și echipamente; fabricare produse electrice, electronice, inclusiv producție de combustibil din biomasă, (fabricare de peleți) în vederea comercializării, producerea și utilizarea energiei din surse regenerabile pentru desfășurarea propriei activități, ca parte integrantă a proiectului etc.;</w:t>
            </w:r>
          </w:p>
          <w:p w:rsidR="001472C0" w:rsidRDefault="001472C0" w:rsidP="001472C0">
            <w:pPr>
              <w:numPr>
                <w:ilvl w:val="0"/>
                <w:numId w:val="13"/>
              </w:numPr>
              <w:spacing w:before="0" w:after="0"/>
              <w:ind w:hanging="210"/>
              <w:jc w:val="left"/>
              <w:rPr>
                <w:szCs w:val="24"/>
              </w:rPr>
            </w:pPr>
            <w:r>
              <w:rPr>
                <w:szCs w:val="24"/>
              </w:rPr>
              <w:t>Activități meșteșugărești (ex: activități de artizanat și alte activități tradiționale non-agricole (ex: olărit, brodat, prelucrarea manuală a fierului, lânii, lemnului, pielii etc.);</w:t>
            </w:r>
          </w:p>
          <w:p w:rsidR="001472C0" w:rsidRDefault="001472C0" w:rsidP="001472C0">
            <w:pPr>
              <w:numPr>
                <w:ilvl w:val="0"/>
                <w:numId w:val="13"/>
              </w:numPr>
              <w:spacing w:before="0" w:after="0"/>
              <w:ind w:hanging="210"/>
              <w:jc w:val="left"/>
              <w:rPr>
                <w:szCs w:val="24"/>
              </w:rPr>
            </w:pPr>
            <w:r>
              <w:rPr>
                <w:szCs w:val="24"/>
              </w:rPr>
              <w:t>Activități turistice (ex: structuri de cazare de tip camping, parcuri de rulote, bungalow-uri, servicii turistice de agrement și alimentație publică, inclusiv punct gastronomic local);</w:t>
            </w:r>
          </w:p>
          <w:p w:rsidR="001472C0" w:rsidRDefault="001472C0" w:rsidP="001472C0">
            <w:pPr>
              <w:numPr>
                <w:ilvl w:val="0"/>
                <w:numId w:val="13"/>
              </w:numPr>
              <w:spacing w:before="0" w:after="240"/>
              <w:ind w:hanging="210"/>
              <w:jc w:val="left"/>
              <w:rPr>
                <w:szCs w:val="24"/>
              </w:rPr>
            </w:pPr>
            <w:r>
              <w:rPr>
                <w:szCs w:val="24"/>
              </w:rPr>
              <w:t>Servicii (ex: medicale, sociale, sanitar-veterinare; reparații mașini, unelte, obiecte casnice; consultanță, contabilitate, juridice, audit; servicii în tehnologia informației și servicii informatice; servicii tehnice, administrative, alte servicii destinate populației din spațiul rural, etc.).</w:t>
            </w:r>
          </w:p>
          <w:p w:rsidR="001472C0" w:rsidRDefault="001472C0" w:rsidP="002119B5">
            <w:pPr>
              <w:pStyle w:val="BodyText"/>
            </w:pPr>
          </w:p>
        </w:tc>
      </w:tr>
    </w:tbl>
    <w:p w:rsidR="00CC2CC1" w:rsidRDefault="00CC2CC1"/>
    <w:sectPr w:rsidR="00CC2CC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436603"/>
    <w:multiLevelType w:val="multilevel"/>
    <w:tmpl w:val="A09AD310"/>
    <w:numStyleLink w:val="Headings"/>
  </w:abstractNum>
  <w:abstractNum w:abstractNumId="1" w15:restartNumberingAfterBreak="0">
    <w:nsid w:val="57594894"/>
    <w:multiLevelType w:val="multilevel"/>
    <w:tmpl w:val="A09AD310"/>
    <w:styleLink w:val="Headings"/>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suff w:val="space"/>
      <w:lvlText w:val="%1.%2.%3."/>
      <w:lvlJc w:val="left"/>
      <w:pPr>
        <w:ind w:left="0" w:firstLine="0"/>
      </w:pPr>
      <w:rPr>
        <w:rFonts w:hint="default"/>
        <w:color w:val="auto"/>
      </w:rPr>
    </w:lvl>
    <w:lvl w:ilvl="3">
      <w:start w:val="1"/>
      <w:numFmt w:val="decimal"/>
      <w:pStyle w:val="Heading4"/>
      <w:suff w:val="space"/>
      <w:lvlText w:val="%1.%2.%3.%4."/>
      <w:lvlJc w:val="left"/>
      <w:pPr>
        <w:ind w:left="0" w:firstLine="0"/>
      </w:pPr>
      <w:rPr>
        <w:rFonts w:hint="default"/>
      </w:rPr>
    </w:lvl>
    <w:lvl w:ilvl="4">
      <w:start w:val="1"/>
      <w:numFmt w:val="decimal"/>
      <w:pStyle w:val="Heading5"/>
      <w:suff w:val="space"/>
      <w:lvlText w:val="%1.%2.%3.%4.%5."/>
      <w:lvlJc w:val="left"/>
      <w:pPr>
        <w:ind w:left="0" w:firstLine="0"/>
      </w:pPr>
      <w:rPr>
        <w:rFonts w:hint="default"/>
      </w:rPr>
    </w:lvl>
    <w:lvl w:ilvl="5">
      <w:start w:val="1"/>
      <w:numFmt w:val="decimal"/>
      <w:pStyle w:val="Heading6"/>
      <w:suff w:val="space"/>
      <w:lvlText w:val="%1.%2.%3.%4.%5.%6."/>
      <w:lvlJc w:val="left"/>
      <w:pPr>
        <w:ind w:left="0" w:firstLine="0"/>
      </w:pPr>
      <w:rPr>
        <w:rFonts w:hint="default"/>
      </w:rPr>
    </w:lvl>
    <w:lvl w:ilvl="6">
      <w:start w:val="1"/>
      <w:numFmt w:val="decimal"/>
      <w:pStyle w:val="Heading7"/>
      <w:suff w:val="space"/>
      <w:lvlText w:val="%1.%2.%3.%4.%5.%6.%7."/>
      <w:lvlJc w:val="left"/>
      <w:pPr>
        <w:ind w:left="0" w:firstLine="0"/>
      </w:pPr>
      <w:rPr>
        <w:rFonts w:hint="default"/>
      </w:rPr>
    </w:lvl>
    <w:lvl w:ilvl="7">
      <w:start w:val="1"/>
      <w:numFmt w:val="decimal"/>
      <w:pStyle w:val="Heading8"/>
      <w:suff w:val="space"/>
      <w:lvlText w:val="%1.%2.%3.%4.%5.%6.%7.%8."/>
      <w:lvlJc w:val="left"/>
      <w:pPr>
        <w:ind w:left="0" w:firstLine="0"/>
      </w:pPr>
      <w:rPr>
        <w:rFonts w:hint="default"/>
      </w:rPr>
    </w:lvl>
    <w:lvl w:ilvl="8">
      <w:start w:val="1"/>
      <w:numFmt w:val="decimal"/>
      <w:pStyle w:val="Heading9"/>
      <w:suff w:val="space"/>
      <w:lvlText w:val="%1.%2.%3.%4.%5.%6.%7.%8.%9."/>
      <w:lvlJc w:val="left"/>
      <w:pPr>
        <w:ind w:left="0" w:firstLine="0"/>
      </w:pPr>
      <w:rPr>
        <w:rFonts w:hint="default"/>
      </w:rPr>
    </w:lvl>
  </w:abstractNum>
  <w:abstractNum w:abstractNumId="2" w15:restartNumberingAfterBreak="0">
    <w:nsid w:val="72230667"/>
    <w:multiLevelType w:val="hybridMultilevel"/>
    <w:tmpl w:val="72230667"/>
    <w:lvl w:ilvl="0" w:tplc="843093D4">
      <w:start w:val="1"/>
      <w:numFmt w:val="bullet"/>
      <w:lvlText w:val=""/>
      <w:lvlJc w:val="left"/>
      <w:pPr>
        <w:tabs>
          <w:tab w:val="num" w:pos="720"/>
        </w:tabs>
        <w:ind w:left="720" w:hanging="360"/>
      </w:pPr>
      <w:rPr>
        <w:rFonts w:ascii="Symbol" w:hAnsi="Symbol"/>
      </w:rPr>
    </w:lvl>
    <w:lvl w:ilvl="1" w:tplc="9D544782">
      <w:start w:val="1"/>
      <w:numFmt w:val="bullet"/>
      <w:lvlText w:val="o"/>
      <w:lvlJc w:val="left"/>
      <w:pPr>
        <w:tabs>
          <w:tab w:val="num" w:pos="1440"/>
        </w:tabs>
        <w:ind w:left="1440" w:hanging="360"/>
      </w:pPr>
      <w:rPr>
        <w:rFonts w:ascii="Courier New" w:hAnsi="Courier New"/>
      </w:rPr>
    </w:lvl>
    <w:lvl w:ilvl="2" w:tplc="97BC986C">
      <w:start w:val="1"/>
      <w:numFmt w:val="bullet"/>
      <w:lvlText w:val=""/>
      <w:lvlJc w:val="left"/>
      <w:pPr>
        <w:tabs>
          <w:tab w:val="num" w:pos="2160"/>
        </w:tabs>
        <w:ind w:left="2160" w:hanging="360"/>
      </w:pPr>
      <w:rPr>
        <w:rFonts w:ascii="Wingdings" w:hAnsi="Wingdings"/>
      </w:rPr>
    </w:lvl>
    <w:lvl w:ilvl="3" w:tplc="F572C422">
      <w:start w:val="1"/>
      <w:numFmt w:val="bullet"/>
      <w:lvlText w:val=""/>
      <w:lvlJc w:val="left"/>
      <w:pPr>
        <w:tabs>
          <w:tab w:val="num" w:pos="2880"/>
        </w:tabs>
        <w:ind w:left="2880" w:hanging="360"/>
      </w:pPr>
      <w:rPr>
        <w:rFonts w:ascii="Symbol" w:hAnsi="Symbol"/>
      </w:rPr>
    </w:lvl>
    <w:lvl w:ilvl="4" w:tplc="E404ECBE">
      <w:start w:val="1"/>
      <w:numFmt w:val="bullet"/>
      <w:lvlText w:val="o"/>
      <w:lvlJc w:val="left"/>
      <w:pPr>
        <w:tabs>
          <w:tab w:val="num" w:pos="3600"/>
        </w:tabs>
        <w:ind w:left="3600" w:hanging="360"/>
      </w:pPr>
      <w:rPr>
        <w:rFonts w:ascii="Courier New" w:hAnsi="Courier New"/>
      </w:rPr>
    </w:lvl>
    <w:lvl w:ilvl="5" w:tplc="DD30141A">
      <w:start w:val="1"/>
      <w:numFmt w:val="bullet"/>
      <w:lvlText w:val=""/>
      <w:lvlJc w:val="left"/>
      <w:pPr>
        <w:tabs>
          <w:tab w:val="num" w:pos="4320"/>
        </w:tabs>
        <w:ind w:left="4320" w:hanging="360"/>
      </w:pPr>
      <w:rPr>
        <w:rFonts w:ascii="Wingdings" w:hAnsi="Wingdings"/>
      </w:rPr>
    </w:lvl>
    <w:lvl w:ilvl="6" w:tplc="79C4D256">
      <w:start w:val="1"/>
      <w:numFmt w:val="bullet"/>
      <w:lvlText w:val=""/>
      <w:lvlJc w:val="left"/>
      <w:pPr>
        <w:tabs>
          <w:tab w:val="num" w:pos="5040"/>
        </w:tabs>
        <w:ind w:left="5040" w:hanging="360"/>
      </w:pPr>
      <w:rPr>
        <w:rFonts w:ascii="Symbol" w:hAnsi="Symbol"/>
      </w:rPr>
    </w:lvl>
    <w:lvl w:ilvl="7" w:tplc="B40E12BA">
      <w:start w:val="1"/>
      <w:numFmt w:val="bullet"/>
      <w:lvlText w:val="o"/>
      <w:lvlJc w:val="left"/>
      <w:pPr>
        <w:tabs>
          <w:tab w:val="num" w:pos="5760"/>
        </w:tabs>
        <w:ind w:left="5760" w:hanging="360"/>
      </w:pPr>
      <w:rPr>
        <w:rFonts w:ascii="Courier New" w:hAnsi="Courier New"/>
      </w:rPr>
    </w:lvl>
    <w:lvl w:ilvl="8" w:tplc="C2A603CE">
      <w:start w:val="1"/>
      <w:numFmt w:val="bullet"/>
      <w:lvlText w:val=""/>
      <w:lvlJc w:val="left"/>
      <w:pPr>
        <w:tabs>
          <w:tab w:val="num" w:pos="6480"/>
        </w:tabs>
        <w:ind w:left="6480" w:hanging="360"/>
      </w:pPr>
      <w:rPr>
        <w:rFonts w:ascii="Wingdings" w:hAnsi="Wingdings"/>
      </w:rPr>
    </w:lvl>
  </w:abstractNum>
  <w:abstractNum w:abstractNumId="3" w15:restartNumberingAfterBreak="0">
    <w:nsid w:val="72230668"/>
    <w:multiLevelType w:val="hybridMultilevel"/>
    <w:tmpl w:val="72230668"/>
    <w:lvl w:ilvl="0" w:tplc="335CC1A6">
      <w:start w:val="1"/>
      <w:numFmt w:val="bullet"/>
      <w:lvlText w:val=""/>
      <w:lvlJc w:val="left"/>
      <w:pPr>
        <w:ind w:left="720" w:hanging="360"/>
      </w:pPr>
      <w:rPr>
        <w:rFonts w:ascii="Symbol" w:hAnsi="Symbol"/>
      </w:rPr>
    </w:lvl>
    <w:lvl w:ilvl="1" w:tplc="97DA1DC8">
      <w:start w:val="1"/>
      <w:numFmt w:val="bullet"/>
      <w:lvlText w:val="o"/>
      <w:lvlJc w:val="left"/>
      <w:pPr>
        <w:tabs>
          <w:tab w:val="num" w:pos="1440"/>
        </w:tabs>
        <w:ind w:left="1440" w:hanging="360"/>
      </w:pPr>
      <w:rPr>
        <w:rFonts w:ascii="Courier New" w:hAnsi="Courier New"/>
      </w:rPr>
    </w:lvl>
    <w:lvl w:ilvl="2" w:tplc="C508612A">
      <w:start w:val="1"/>
      <w:numFmt w:val="bullet"/>
      <w:lvlText w:val=""/>
      <w:lvlJc w:val="left"/>
      <w:pPr>
        <w:tabs>
          <w:tab w:val="num" w:pos="2160"/>
        </w:tabs>
        <w:ind w:left="2160" w:hanging="360"/>
      </w:pPr>
      <w:rPr>
        <w:rFonts w:ascii="Wingdings" w:hAnsi="Wingdings"/>
      </w:rPr>
    </w:lvl>
    <w:lvl w:ilvl="3" w:tplc="E0F8367E">
      <w:start w:val="1"/>
      <w:numFmt w:val="bullet"/>
      <w:lvlText w:val=""/>
      <w:lvlJc w:val="left"/>
      <w:pPr>
        <w:tabs>
          <w:tab w:val="num" w:pos="2880"/>
        </w:tabs>
        <w:ind w:left="2880" w:hanging="360"/>
      </w:pPr>
      <w:rPr>
        <w:rFonts w:ascii="Symbol" w:hAnsi="Symbol"/>
      </w:rPr>
    </w:lvl>
    <w:lvl w:ilvl="4" w:tplc="0F7077B8">
      <w:start w:val="1"/>
      <w:numFmt w:val="bullet"/>
      <w:lvlText w:val="o"/>
      <w:lvlJc w:val="left"/>
      <w:pPr>
        <w:tabs>
          <w:tab w:val="num" w:pos="3600"/>
        </w:tabs>
        <w:ind w:left="3600" w:hanging="360"/>
      </w:pPr>
      <w:rPr>
        <w:rFonts w:ascii="Courier New" w:hAnsi="Courier New"/>
      </w:rPr>
    </w:lvl>
    <w:lvl w:ilvl="5" w:tplc="3746FF48">
      <w:start w:val="1"/>
      <w:numFmt w:val="bullet"/>
      <w:lvlText w:val=""/>
      <w:lvlJc w:val="left"/>
      <w:pPr>
        <w:tabs>
          <w:tab w:val="num" w:pos="4320"/>
        </w:tabs>
        <w:ind w:left="4320" w:hanging="360"/>
      </w:pPr>
      <w:rPr>
        <w:rFonts w:ascii="Wingdings" w:hAnsi="Wingdings"/>
      </w:rPr>
    </w:lvl>
    <w:lvl w:ilvl="6" w:tplc="2A0C9666">
      <w:start w:val="1"/>
      <w:numFmt w:val="bullet"/>
      <w:lvlText w:val=""/>
      <w:lvlJc w:val="left"/>
      <w:pPr>
        <w:tabs>
          <w:tab w:val="num" w:pos="5040"/>
        </w:tabs>
        <w:ind w:left="5040" w:hanging="360"/>
      </w:pPr>
      <w:rPr>
        <w:rFonts w:ascii="Symbol" w:hAnsi="Symbol"/>
      </w:rPr>
    </w:lvl>
    <w:lvl w:ilvl="7" w:tplc="30C415A4">
      <w:start w:val="1"/>
      <w:numFmt w:val="bullet"/>
      <w:lvlText w:val="o"/>
      <w:lvlJc w:val="left"/>
      <w:pPr>
        <w:tabs>
          <w:tab w:val="num" w:pos="5760"/>
        </w:tabs>
        <w:ind w:left="5760" w:hanging="360"/>
      </w:pPr>
      <w:rPr>
        <w:rFonts w:ascii="Courier New" w:hAnsi="Courier New"/>
      </w:rPr>
    </w:lvl>
    <w:lvl w:ilvl="8" w:tplc="B330EF12">
      <w:start w:val="1"/>
      <w:numFmt w:val="bullet"/>
      <w:lvlText w:val=""/>
      <w:lvlJc w:val="left"/>
      <w:pPr>
        <w:tabs>
          <w:tab w:val="num" w:pos="6480"/>
        </w:tabs>
        <w:ind w:left="6480" w:hanging="360"/>
      </w:pPr>
      <w:rPr>
        <w:rFonts w:ascii="Wingdings" w:hAnsi="Wingdings"/>
      </w:rPr>
    </w:lvl>
  </w:abstractNum>
  <w:abstractNum w:abstractNumId="4" w15:restartNumberingAfterBreak="0">
    <w:nsid w:val="72230669"/>
    <w:multiLevelType w:val="hybridMultilevel"/>
    <w:tmpl w:val="72230669"/>
    <w:lvl w:ilvl="0" w:tplc="6B8443E8">
      <w:start w:val="1"/>
      <w:numFmt w:val="bullet"/>
      <w:lvlText w:val=""/>
      <w:lvlJc w:val="left"/>
      <w:pPr>
        <w:ind w:left="720" w:hanging="360"/>
      </w:pPr>
      <w:rPr>
        <w:rFonts w:ascii="Symbol" w:hAnsi="Symbol"/>
      </w:rPr>
    </w:lvl>
    <w:lvl w:ilvl="1" w:tplc="9B2681B4">
      <w:start w:val="1"/>
      <w:numFmt w:val="bullet"/>
      <w:lvlText w:val="o"/>
      <w:lvlJc w:val="left"/>
      <w:pPr>
        <w:tabs>
          <w:tab w:val="num" w:pos="1440"/>
        </w:tabs>
        <w:ind w:left="1440" w:hanging="360"/>
      </w:pPr>
      <w:rPr>
        <w:rFonts w:ascii="Courier New" w:hAnsi="Courier New"/>
      </w:rPr>
    </w:lvl>
    <w:lvl w:ilvl="2" w:tplc="7C4CEC2C">
      <w:start w:val="1"/>
      <w:numFmt w:val="bullet"/>
      <w:lvlText w:val=""/>
      <w:lvlJc w:val="left"/>
      <w:pPr>
        <w:tabs>
          <w:tab w:val="num" w:pos="2160"/>
        </w:tabs>
        <w:ind w:left="2160" w:hanging="360"/>
      </w:pPr>
      <w:rPr>
        <w:rFonts w:ascii="Wingdings" w:hAnsi="Wingdings"/>
      </w:rPr>
    </w:lvl>
    <w:lvl w:ilvl="3" w:tplc="F8127E36">
      <w:start w:val="1"/>
      <w:numFmt w:val="bullet"/>
      <w:lvlText w:val=""/>
      <w:lvlJc w:val="left"/>
      <w:pPr>
        <w:tabs>
          <w:tab w:val="num" w:pos="2880"/>
        </w:tabs>
        <w:ind w:left="2880" w:hanging="360"/>
      </w:pPr>
      <w:rPr>
        <w:rFonts w:ascii="Symbol" w:hAnsi="Symbol"/>
      </w:rPr>
    </w:lvl>
    <w:lvl w:ilvl="4" w:tplc="682E1F72">
      <w:start w:val="1"/>
      <w:numFmt w:val="bullet"/>
      <w:lvlText w:val="o"/>
      <w:lvlJc w:val="left"/>
      <w:pPr>
        <w:tabs>
          <w:tab w:val="num" w:pos="3600"/>
        </w:tabs>
        <w:ind w:left="3600" w:hanging="360"/>
      </w:pPr>
      <w:rPr>
        <w:rFonts w:ascii="Courier New" w:hAnsi="Courier New"/>
      </w:rPr>
    </w:lvl>
    <w:lvl w:ilvl="5" w:tplc="DC427C2A">
      <w:start w:val="1"/>
      <w:numFmt w:val="bullet"/>
      <w:lvlText w:val=""/>
      <w:lvlJc w:val="left"/>
      <w:pPr>
        <w:tabs>
          <w:tab w:val="num" w:pos="4320"/>
        </w:tabs>
        <w:ind w:left="4320" w:hanging="360"/>
      </w:pPr>
      <w:rPr>
        <w:rFonts w:ascii="Wingdings" w:hAnsi="Wingdings"/>
      </w:rPr>
    </w:lvl>
    <w:lvl w:ilvl="6" w:tplc="CCCC6224">
      <w:start w:val="1"/>
      <w:numFmt w:val="bullet"/>
      <w:lvlText w:val=""/>
      <w:lvlJc w:val="left"/>
      <w:pPr>
        <w:tabs>
          <w:tab w:val="num" w:pos="5040"/>
        </w:tabs>
        <w:ind w:left="5040" w:hanging="360"/>
      </w:pPr>
      <w:rPr>
        <w:rFonts w:ascii="Symbol" w:hAnsi="Symbol"/>
      </w:rPr>
    </w:lvl>
    <w:lvl w:ilvl="7" w:tplc="6ABACE80">
      <w:start w:val="1"/>
      <w:numFmt w:val="bullet"/>
      <w:lvlText w:val="o"/>
      <w:lvlJc w:val="left"/>
      <w:pPr>
        <w:tabs>
          <w:tab w:val="num" w:pos="5760"/>
        </w:tabs>
        <w:ind w:left="5760" w:hanging="360"/>
      </w:pPr>
      <w:rPr>
        <w:rFonts w:ascii="Courier New" w:hAnsi="Courier New"/>
      </w:rPr>
    </w:lvl>
    <w:lvl w:ilvl="8" w:tplc="93662F6E">
      <w:start w:val="1"/>
      <w:numFmt w:val="bullet"/>
      <w:lvlText w:val=""/>
      <w:lvlJc w:val="left"/>
      <w:pPr>
        <w:tabs>
          <w:tab w:val="num" w:pos="6480"/>
        </w:tabs>
        <w:ind w:left="6480" w:hanging="360"/>
      </w:pPr>
      <w:rPr>
        <w:rFonts w:ascii="Wingdings" w:hAnsi="Wingdings"/>
      </w:rPr>
    </w:lvl>
  </w:abstractNum>
  <w:abstractNum w:abstractNumId="5" w15:restartNumberingAfterBreak="0">
    <w:nsid w:val="7223066A"/>
    <w:multiLevelType w:val="hybridMultilevel"/>
    <w:tmpl w:val="7223066A"/>
    <w:lvl w:ilvl="0" w:tplc="25F23FA0">
      <w:start w:val="1"/>
      <w:numFmt w:val="bullet"/>
      <w:lvlText w:val=""/>
      <w:lvlJc w:val="left"/>
      <w:pPr>
        <w:ind w:left="720" w:hanging="360"/>
      </w:pPr>
      <w:rPr>
        <w:rFonts w:ascii="Symbol" w:hAnsi="Symbol"/>
      </w:rPr>
    </w:lvl>
    <w:lvl w:ilvl="1" w:tplc="3064D666">
      <w:start w:val="1"/>
      <w:numFmt w:val="bullet"/>
      <w:lvlText w:val="o"/>
      <w:lvlJc w:val="left"/>
      <w:pPr>
        <w:tabs>
          <w:tab w:val="num" w:pos="1440"/>
        </w:tabs>
        <w:ind w:left="1440" w:hanging="360"/>
      </w:pPr>
      <w:rPr>
        <w:rFonts w:ascii="Courier New" w:hAnsi="Courier New"/>
      </w:rPr>
    </w:lvl>
    <w:lvl w:ilvl="2" w:tplc="978A1FCC">
      <w:start w:val="1"/>
      <w:numFmt w:val="bullet"/>
      <w:lvlText w:val=""/>
      <w:lvlJc w:val="left"/>
      <w:pPr>
        <w:tabs>
          <w:tab w:val="num" w:pos="2160"/>
        </w:tabs>
        <w:ind w:left="2160" w:hanging="360"/>
      </w:pPr>
      <w:rPr>
        <w:rFonts w:ascii="Wingdings" w:hAnsi="Wingdings"/>
      </w:rPr>
    </w:lvl>
    <w:lvl w:ilvl="3" w:tplc="59F21EC4">
      <w:start w:val="1"/>
      <w:numFmt w:val="bullet"/>
      <w:lvlText w:val=""/>
      <w:lvlJc w:val="left"/>
      <w:pPr>
        <w:tabs>
          <w:tab w:val="num" w:pos="2880"/>
        </w:tabs>
        <w:ind w:left="2880" w:hanging="360"/>
      </w:pPr>
      <w:rPr>
        <w:rFonts w:ascii="Symbol" w:hAnsi="Symbol"/>
      </w:rPr>
    </w:lvl>
    <w:lvl w:ilvl="4" w:tplc="972624D0">
      <w:start w:val="1"/>
      <w:numFmt w:val="bullet"/>
      <w:lvlText w:val="o"/>
      <w:lvlJc w:val="left"/>
      <w:pPr>
        <w:tabs>
          <w:tab w:val="num" w:pos="3600"/>
        </w:tabs>
        <w:ind w:left="3600" w:hanging="360"/>
      </w:pPr>
      <w:rPr>
        <w:rFonts w:ascii="Courier New" w:hAnsi="Courier New"/>
      </w:rPr>
    </w:lvl>
    <w:lvl w:ilvl="5" w:tplc="B5F4D3F0">
      <w:start w:val="1"/>
      <w:numFmt w:val="bullet"/>
      <w:lvlText w:val=""/>
      <w:lvlJc w:val="left"/>
      <w:pPr>
        <w:tabs>
          <w:tab w:val="num" w:pos="4320"/>
        </w:tabs>
        <w:ind w:left="4320" w:hanging="360"/>
      </w:pPr>
      <w:rPr>
        <w:rFonts w:ascii="Wingdings" w:hAnsi="Wingdings"/>
      </w:rPr>
    </w:lvl>
    <w:lvl w:ilvl="6" w:tplc="38A8DF64">
      <w:start w:val="1"/>
      <w:numFmt w:val="bullet"/>
      <w:lvlText w:val=""/>
      <w:lvlJc w:val="left"/>
      <w:pPr>
        <w:tabs>
          <w:tab w:val="num" w:pos="5040"/>
        </w:tabs>
        <w:ind w:left="5040" w:hanging="360"/>
      </w:pPr>
      <w:rPr>
        <w:rFonts w:ascii="Symbol" w:hAnsi="Symbol"/>
      </w:rPr>
    </w:lvl>
    <w:lvl w:ilvl="7" w:tplc="99F282A6">
      <w:start w:val="1"/>
      <w:numFmt w:val="bullet"/>
      <w:lvlText w:val="o"/>
      <w:lvlJc w:val="left"/>
      <w:pPr>
        <w:tabs>
          <w:tab w:val="num" w:pos="5760"/>
        </w:tabs>
        <w:ind w:left="5760" w:hanging="360"/>
      </w:pPr>
      <w:rPr>
        <w:rFonts w:ascii="Courier New" w:hAnsi="Courier New"/>
      </w:rPr>
    </w:lvl>
    <w:lvl w:ilvl="8" w:tplc="C20CF72E">
      <w:start w:val="1"/>
      <w:numFmt w:val="bullet"/>
      <w:lvlText w:val=""/>
      <w:lvlJc w:val="left"/>
      <w:pPr>
        <w:tabs>
          <w:tab w:val="num" w:pos="6480"/>
        </w:tabs>
        <w:ind w:left="6480" w:hanging="360"/>
      </w:pPr>
      <w:rPr>
        <w:rFonts w:ascii="Wingdings" w:hAnsi="Wingdings"/>
      </w:rPr>
    </w:lvl>
  </w:abstractNum>
  <w:abstractNum w:abstractNumId="6" w15:restartNumberingAfterBreak="0">
    <w:nsid w:val="7223066B"/>
    <w:multiLevelType w:val="hybridMultilevel"/>
    <w:tmpl w:val="7223066B"/>
    <w:lvl w:ilvl="0" w:tplc="839C8540">
      <w:start w:val="1"/>
      <w:numFmt w:val="bullet"/>
      <w:lvlText w:val=""/>
      <w:lvlJc w:val="left"/>
      <w:pPr>
        <w:ind w:left="720" w:hanging="360"/>
      </w:pPr>
      <w:rPr>
        <w:rFonts w:ascii="Symbol" w:hAnsi="Symbol"/>
      </w:rPr>
    </w:lvl>
    <w:lvl w:ilvl="1" w:tplc="745EB9C2">
      <w:start w:val="1"/>
      <w:numFmt w:val="bullet"/>
      <w:lvlText w:val="o"/>
      <w:lvlJc w:val="left"/>
      <w:pPr>
        <w:tabs>
          <w:tab w:val="num" w:pos="1440"/>
        </w:tabs>
        <w:ind w:left="1440" w:hanging="360"/>
      </w:pPr>
      <w:rPr>
        <w:rFonts w:ascii="Courier New" w:hAnsi="Courier New"/>
      </w:rPr>
    </w:lvl>
    <w:lvl w:ilvl="2" w:tplc="FA4AB214">
      <w:start w:val="1"/>
      <w:numFmt w:val="bullet"/>
      <w:lvlText w:val=""/>
      <w:lvlJc w:val="left"/>
      <w:pPr>
        <w:tabs>
          <w:tab w:val="num" w:pos="2160"/>
        </w:tabs>
        <w:ind w:left="2160" w:hanging="360"/>
      </w:pPr>
      <w:rPr>
        <w:rFonts w:ascii="Wingdings" w:hAnsi="Wingdings"/>
      </w:rPr>
    </w:lvl>
    <w:lvl w:ilvl="3" w:tplc="21C61EAA">
      <w:start w:val="1"/>
      <w:numFmt w:val="bullet"/>
      <w:lvlText w:val=""/>
      <w:lvlJc w:val="left"/>
      <w:pPr>
        <w:tabs>
          <w:tab w:val="num" w:pos="2880"/>
        </w:tabs>
        <w:ind w:left="2880" w:hanging="360"/>
      </w:pPr>
      <w:rPr>
        <w:rFonts w:ascii="Symbol" w:hAnsi="Symbol"/>
      </w:rPr>
    </w:lvl>
    <w:lvl w:ilvl="4" w:tplc="BA0036CC">
      <w:start w:val="1"/>
      <w:numFmt w:val="bullet"/>
      <w:lvlText w:val="o"/>
      <w:lvlJc w:val="left"/>
      <w:pPr>
        <w:tabs>
          <w:tab w:val="num" w:pos="3600"/>
        </w:tabs>
        <w:ind w:left="3600" w:hanging="360"/>
      </w:pPr>
      <w:rPr>
        <w:rFonts w:ascii="Courier New" w:hAnsi="Courier New"/>
      </w:rPr>
    </w:lvl>
    <w:lvl w:ilvl="5" w:tplc="997A8330">
      <w:start w:val="1"/>
      <w:numFmt w:val="bullet"/>
      <w:lvlText w:val=""/>
      <w:lvlJc w:val="left"/>
      <w:pPr>
        <w:tabs>
          <w:tab w:val="num" w:pos="4320"/>
        </w:tabs>
        <w:ind w:left="4320" w:hanging="360"/>
      </w:pPr>
      <w:rPr>
        <w:rFonts w:ascii="Wingdings" w:hAnsi="Wingdings"/>
      </w:rPr>
    </w:lvl>
    <w:lvl w:ilvl="6" w:tplc="4114F134">
      <w:start w:val="1"/>
      <w:numFmt w:val="bullet"/>
      <w:lvlText w:val=""/>
      <w:lvlJc w:val="left"/>
      <w:pPr>
        <w:tabs>
          <w:tab w:val="num" w:pos="5040"/>
        </w:tabs>
        <w:ind w:left="5040" w:hanging="360"/>
      </w:pPr>
      <w:rPr>
        <w:rFonts w:ascii="Symbol" w:hAnsi="Symbol"/>
      </w:rPr>
    </w:lvl>
    <w:lvl w:ilvl="7" w:tplc="E3AE248E">
      <w:start w:val="1"/>
      <w:numFmt w:val="bullet"/>
      <w:lvlText w:val="o"/>
      <w:lvlJc w:val="left"/>
      <w:pPr>
        <w:tabs>
          <w:tab w:val="num" w:pos="5760"/>
        </w:tabs>
        <w:ind w:left="5760" w:hanging="360"/>
      </w:pPr>
      <w:rPr>
        <w:rFonts w:ascii="Courier New" w:hAnsi="Courier New"/>
      </w:rPr>
    </w:lvl>
    <w:lvl w:ilvl="8" w:tplc="D6121FC4">
      <w:start w:val="1"/>
      <w:numFmt w:val="bullet"/>
      <w:lvlText w:val=""/>
      <w:lvlJc w:val="left"/>
      <w:pPr>
        <w:tabs>
          <w:tab w:val="num" w:pos="6480"/>
        </w:tabs>
        <w:ind w:left="6480" w:hanging="360"/>
      </w:pPr>
      <w:rPr>
        <w:rFonts w:ascii="Wingdings" w:hAnsi="Wingdings"/>
      </w:rPr>
    </w:lvl>
  </w:abstractNum>
  <w:abstractNum w:abstractNumId="7" w15:restartNumberingAfterBreak="0">
    <w:nsid w:val="7223066C"/>
    <w:multiLevelType w:val="hybridMultilevel"/>
    <w:tmpl w:val="7223066C"/>
    <w:lvl w:ilvl="0" w:tplc="628E6614">
      <w:start w:val="1"/>
      <w:numFmt w:val="bullet"/>
      <w:lvlText w:val=""/>
      <w:lvlJc w:val="left"/>
      <w:pPr>
        <w:ind w:left="720" w:hanging="360"/>
      </w:pPr>
      <w:rPr>
        <w:rFonts w:ascii="Symbol" w:hAnsi="Symbol"/>
      </w:rPr>
    </w:lvl>
    <w:lvl w:ilvl="1" w:tplc="669C091E">
      <w:start w:val="1"/>
      <w:numFmt w:val="bullet"/>
      <w:lvlText w:val="o"/>
      <w:lvlJc w:val="left"/>
      <w:pPr>
        <w:tabs>
          <w:tab w:val="num" w:pos="1440"/>
        </w:tabs>
        <w:ind w:left="1440" w:hanging="360"/>
      </w:pPr>
      <w:rPr>
        <w:rFonts w:ascii="Courier New" w:hAnsi="Courier New"/>
      </w:rPr>
    </w:lvl>
    <w:lvl w:ilvl="2" w:tplc="2B26BC7A">
      <w:start w:val="1"/>
      <w:numFmt w:val="bullet"/>
      <w:lvlText w:val=""/>
      <w:lvlJc w:val="left"/>
      <w:pPr>
        <w:tabs>
          <w:tab w:val="num" w:pos="2160"/>
        </w:tabs>
        <w:ind w:left="2160" w:hanging="360"/>
      </w:pPr>
      <w:rPr>
        <w:rFonts w:ascii="Wingdings" w:hAnsi="Wingdings"/>
      </w:rPr>
    </w:lvl>
    <w:lvl w:ilvl="3" w:tplc="2444CCA4">
      <w:start w:val="1"/>
      <w:numFmt w:val="bullet"/>
      <w:lvlText w:val=""/>
      <w:lvlJc w:val="left"/>
      <w:pPr>
        <w:tabs>
          <w:tab w:val="num" w:pos="2880"/>
        </w:tabs>
        <w:ind w:left="2880" w:hanging="360"/>
      </w:pPr>
      <w:rPr>
        <w:rFonts w:ascii="Symbol" w:hAnsi="Symbol"/>
      </w:rPr>
    </w:lvl>
    <w:lvl w:ilvl="4" w:tplc="5E901448">
      <w:start w:val="1"/>
      <w:numFmt w:val="bullet"/>
      <w:lvlText w:val="o"/>
      <w:lvlJc w:val="left"/>
      <w:pPr>
        <w:tabs>
          <w:tab w:val="num" w:pos="3600"/>
        </w:tabs>
        <w:ind w:left="3600" w:hanging="360"/>
      </w:pPr>
      <w:rPr>
        <w:rFonts w:ascii="Courier New" w:hAnsi="Courier New"/>
      </w:rPr>
    </w:lvl>
    <w:lvl w:ilvl="5" w:tplc="8F787184">
      <w:start w:val="1"/>
      <w:numFmt w:val="bullet"/>
      <w:lvlText w:val=""/>
      <w:lvlJc w:val="left"/>
      <w:pPr>
        <w:tabs>
          <w:tab w:val="num" w:pos="4320"/>
        </w:tabs>
        <w:ind w:left="4320" w:hanging="360"/>
      </w:pPr>
      <w:rPr>
        <w:rFonts w:ascii="Wingdings" w:hAnsi="Wingdings"/>
      </w:rPr>
    </w:lvl>
    <w:lvl w:ilvl="6" w:tplc="56102D6C">
      <w:start w:val="1"/>
      <w:numFmt w:val="bullet"/>
      <w:lvlText w:val=""/>
      <w:lvlJc w:val="left"/>
      <w:pPr>
        <w:tabs>
          <w:tab w:val="num" w:pos="5040"/>
        </w:tabs>
        <w:ind w:left="5040" w:hanging="360"/>
      </w:pPr>
      <w:rPr>
        <w:rFonts w:ascii="Symbol" w:hAnsi="Symbol"/>
      </w:rPr>
    </w:lvl>
    <w:lvl w:ilvl="7" w:tplc="E11A3BA6">
      <w:start w:val="1"/>
      <w:numFmt w:val="bullet"/>
      <w:lvlText w:val="o"/>
      <w:lvlJc w:val="left"/>
      <w:pPr>
        <w:tabs>
          <w:tab w:val="num" w:pos="5760"/>
        </w:tabs>
        <w:ind w:left="5760" w:hanging="360"/>
      </w:pPr>
      <w:rPr>
        <w:rFonts w:ascii="Courier New" w:hAnsi="Courier New"/>
      </w:rPr>
    </w:lvl>
    <w:lvl w:ilvl="8" w:tplc="A8426B34">
      <w:start w:val="1"/>
      <w:numFmt w:val="bullet"/>
      <w:lvlText w:val=""/>
      <w:lvlJc w:val="left"/>
      <w:pPr>
        <w:tabs>
          <w:tab w:val="num" w:pos="6480"/>
        </w:tabs>
        <w:ind w:left="6480" w:hanging="360"/>
      </w:pPr>
      <w:rPr>
        <w:rFonts w:ascii="Wingdings" w:hAnsi="Wingdings"/>
      </w:rPr>
    </w:lvl>
  </w:abstractNum>
  <w:abstractNum w:abstractNumId="8" w15:restartNumberingAfterBreak="0">
    <w:nsid w:val="7223066D"/>
    <w:multiLevelType w:val="hybridMultilevel"/>
    <w:tmpl w:val="7223066D"/>
    <w:lvl w:ilvl="0" w:tplc="252EC0A8">
      <w:start w:val="1"/>
      <w:numFmt w:val="bullet"/>
      <w:lvlText w:val=""/>
      <w:lvlJc w:val="left"/>
      <w:pPr>
        <w:ind w:left="720" w:hanging="360"/>
      </w:pPr>
      <w:rPr>
        <w:rFonts w:ascii="Symbol" w:hAnsi="Symbol"/>
      </w:rPr>
    </w:lvl>
    <w:lvl w:ilvl="1" w:tplc="63204896">
      <w:start w:val="1"/>
      <w:numFmt w:val="bullet"/>
      <w:lvlText w:val="o"/>
      <w:lvlJc w:val="left"/>
      <w:pPr>
        <w:tabs>
          <w:tab w:val="num" w:pos="1440"/>
        </w:tabs>
        <w:ind w:left="1440" w:hanging="360"/>
      </w:pPr>
      <w:rPr>
        <w:rFonts w:ascii="Courier New" w:hAnsi="Courier New"/>
      </w:rPr>
    </w:lvl>
    <w:lvl w:ilvl="2" w:tplc="F0A8EEFC">
      <w:start w:val="1"/>
      <w:numFmt w:val="bullet"/>
      <w:lvlText w:val=""/>
      <w:lvlJc w:val="left"/>
      <w:pPr>
        <w:tabs>
          <w:tab w:val="num" w:pos="2160"/>
        </w:tabs>
        <w:ind w:left="2160" w:hanging="360"/>
      </w:pPr>
      <w:rPr>
        <w:rFonts w:ascii="Wingdings" w:hAnsi="Wingdings"/>
      </w:rPr>
    </w:lvl>
    <w:lvl w:ilvl="3" w:tplc="D7AA50D2">
      <w:start w:val="1"/>
      <w:numFmt w:val="bullet"/>
      <w:lvlText w:val=""/>
      <w:lvlJc w:val="left"/>
      <w:pPr>
        <w:tabs>
          <w:tab w:val="num" w:pos="2880"/>
        </w:tabs>
        <w:ind w:left="2880" w:hanging="360"/>
      </w:pPr>
      <w:rPr>
        <w:rFonts w:ascii="Symbol" w:hAnsi="Symbol"/>
      </w:rPr>
    </w:lvl>
    <w:lvl w:ilvl="4" w:tplc="1A4A0458">
      <w:start w:val="1"/>
      <w:numFmt w:val="bullet"/>
      <w:lvlText w:val="o"/>
      <w:lvlJc w:val="left"/>
      <w:pPr>
        <w:tabs>
          <w:tab w:val="num" w:pos="3600"/>
        </w:tabs>
        <w:ind w:left="3600" w:hanging="360"/>
      </w:pPr>
      <w:rPr>
        <w:rFonts w:ascii="Courier New" w:hAnsi="Courier New"/>
      </w:rPr>
    </w:lvl>
    <w:lvl w:ilvl="5" w:tplc="0D721388">
      <w:start w:val="1"/>
      <w:numFmt w:val="bullet"/>
      <w:lvlText w:val=""/>
      <w:lvlJc w:val="left"/>
      <w:pPr>
        <w:tabs>
          <w:tab w:val="num" w:pos="4320"/>
        </w:tabs>
        <w:ind w:left="4320" w:hanging="360"/>
      </w:pPr>
      <w:rPr>
        <w:rFonts w:ascii="Wingdings" w:hAnsi="Wingdings"/>
      </w:rPr>
    </w:lvl>
    <w:lvl w:ilvl="6" w:tplc="9BA4904C">
      <w:start w:val="1"/>
      <w:numFmt w:val="bullet"/>
      <w:lvlText w:val=""/>
      <w:lvlJc w:val="left"/>
      <w:pPr>
        <w:tabs>
          <w:tab w:val="num" w:pos="5040"/>
        </w:tabs>
        <w:ind w:left="5040" w:hanging="360"/>
      </w:pPr>
      <w:rPr>
        <w:rFonts w:ascii="Symbol" w:hAnsi="Symbol"/>
      </w:rPr>
    </w:lvl>
    <w:lvl w:ilvl="7" w:tplc="32AC537E">
      <w:start w:val="1"/>
      <w:numFmt w:val="bullet"/>
      <w:lvlText w:val="o"/>
      <w:lvlJc w:val="left"/>
      <w:pPr>
        <w:tabs>
          <w:tab w:val="num" w:pos="5760"/>
        </w:tabs>
        <w:ind w:left="5760" w:hanging="360"/>
      </w:pPr>
      <w:rPr>
        <w:rFonts w:ascii="Courier New" w:hAnsi="Courier New"/>
      </w:rPr>
    </w:lvl>
    <w:lvl w:ilvl="8" w:tplc="8E12C662">
      <w:start w:val="1"/>
      <w:numFmt w:val="bullet"/>
      <w:lvlText w:val=""/>
      <w:lvlJc w:val="left"/>
      <w:pPr>
        <w:tabs>
          <w:tab w:val="num" w:pos="6480"/>
        </w:tabs>
        <w:ind w:left="6480" w:hanging="360"/>
      </w:pPr>
      <w:rPr>
        <w:rFonts w:ascii="Wingdings" w:hAnsi="Wingdings"/>
      </w:rPr>
    </w:lvl>
  </w:abstractNum>
  <w:abstractNum w:abstractNumId="9" w15:restartNumberingAfterBreak="0">
    <w:nsid w:val="7223066E"/>
    <w:multiLevelType w:val="hybridMultilevel"/>
    <w:tmpl w:val="7223066E"/>
    <w:lvl w:ilvl="0" w:tplc="510A68C4">
      <w:start w:val="1"/>
      <w:numFmt w:val="bullet"/>
      <w:lvlText w:val=""/>
      <w:lvlJc w:val="left"/>
      <w:pPr>
        <w:ind w:left="720" w:hanging="360"/>
      </w:pPr>
      <w:rPr>
        <w:rFonts w:ascii="Symbol" w:hAnsi="Symbol"/>
      </w:rPr>
    </w:lvl>
    <w:lvl w:ilvl="1" w:tplc="8B56EF0C">
      <w:start w:val="1"/>
      <w:numFmt w:val="bullet"/>
      <w:lvlText w:val="o"/>
      <w:lvlJc w:val="left"/>
      <w:pPr>
        <w:tabs>
          <w:tab w:val="num" w:pos="1440"/>
        </w:tabs>
        <w:ind w:left="1440" w:hanging="360"/>
      </w:pPr>
      <w:rPr>
        <w:rFonts w:ascii="Courier New" w:hAnsi="Courier New"/>
      </w:rPr>
    </w:lvl>
    <w:lvl w:ilvl="2" w:tplc="500C564A">
      <w:start w:val="1"/>
      <w:numFmt w:val="bullet"/>
      <w:lvlText w:val=""/>
      <w:lvlJc w:val="left"/>
      <w:pPr>
        <w:tabs>
          <w:tab w:val="num" w:pos="2160"/>
        </w:tabs>
        <w:ind w:left="2160" w:hanging="360"/>
      </w:pPr>
      <w:rPr>
        <w:rFonts w:ascii="Wingdings" w:hAnsi="Wingdings"/>
      </w:rPr>
    </w:lvl>
    <w:lvl w:ilvl="3" w:tplc="C41E34A8">
      <w:start w:val="1"/>
      <w:numFmt w:val="bullet"/>
      <w:lvlText w:val=""/>
      <w:lvlJc w:val="left"/>
      <w:pPr>
        <w:tabs>
          <w:tab w:val="num" w:pos="2880"/>
        </w:tabs>
        <w:ind w:left="2880" w:hanging="360"/>
      </w:pPr>
      <w:rPr>
        <w:rFonts w:ascii="Symbol" w:hAnsi="Symbol"/>
      </w:rPr>
    </w:lvl>
    <w:lvl w:ilvl="4" w:tplc="9A261020">
      <w:start w:val="1"/>
      <w:numFmt w:val="bullet"/>
      <w:lvlText w:val="o"/>
      <w:lvlJc w:val="left"/>
      <w:pPr>
        <w:tabs>
          <w:tab w:val="num" w:pos="3600"/>
        </w:tabs>
        <w:ind w:left="3600" w:hanging="360"/>
      </w:pPr>
      <w:rPr>
        <w:rFonts w:ascii="Courier New" w:hAnsi="Courier New"/>
      </w:rPr>
    </w:lvl>
    <w:lvl w:ilvl="5" w:tplc="D8C6BD82">
      <w:start w:val="1"/>
      <w:numFmt w:val="bullet"/>
      <w:lvlText w:val=""/>
      <w:lvlJc w:val="left"/>
      <w:pPr>
        <w:tabs>
          <w:tab w:val="num" w:pos="4320"/>
        </w:tabs>
        <w:ind w:left="4320" w:hanging="360"/>
      </w:pPr>
      <w:rPr>
        <w:rFonts w:ascii="Wingdings" w:hAnsi="Wingdings"/>
      </w:rPr>
    </w:lvl>
    <w:lvl w:ilvl="6" w:tplc="C5E692A6">
      <w:start w:val="1"/>
      <w:numFmt w:val="bullet"/>
      <w:lvlText w:val=""/>
      <w:lvlJc w:val="left"/>
      <w:pPr>
        <w:tabs>
          <w:tab w:val="num" w:pos="5040"/>
        </w:tabs>
        <w:ind w:left="5040" w:hanging="360"/>
      </w:pPr>
      <w:rPr>
        <w:rFonts w:ascii="Symbol" w:hAnsi="Symbol"/>
      </w:rPr>
    </w:lvl>
    <w:lvl w:ilvl="7" w:tplc="6CA69362">
      <w:start w:val="1"/>
      <w:numFmt w:val="bullet"/>
      <w:lvlText w:val="o"/>
      <w:lvlJc w:val="left"/>
      <w:pPr>
        <w:tabs>
          <w:tab w:val="num" w:pos="5760"/>
        </w:tabs>
        <w:ind w:left="5760" w:hanging="360"/>
      </w:pPr>
      <w:rPr>
        <w:rFonts w:ascii="Courier New" w:hAnsi="Courier New"/>
      </w:rPr>
    </w:lvl>
    <w:lvl w:ilvl="8" w:tplc="B916FFB6">
      <w:start w:val="1"/>
      <w:numFmt w:val="bullet"/>
      <w:lvlText w:val=""/>
      <w:lvlJc w:val="left"/>
      <w:pPr>
        <w:tabs>
          <w:tab w:val="num" w:pos="6480"/>
        </w:tabs>
        <w:ind w:left="6480" w:hanging="360"/>
      </w:pPr>
      <w:rPr>
        <w:rFonts w:ascii="Wingdings" w:hAnsi="Wingdings"/>
      </w:rPr>
    </w:lvl>
  </w:abstractNum>
  <w:abstractNum w:abstractNumId="10" w15:restartNumberingAfterBreak="0">
    <w:nsid w:val="7223066F"/>
    <w:multiLevelType w:val="hybridMultilevel"/>
    <w:tmpl w:val="7223066F"/>
    <w:lvl w:ilvl="0" w:tplc="0A8E4ECE">
      <w:start w:val="1"/>
      <w:numFmt w:val="bullet"/>
      <w:lvlText w:val=""/>
      <w:lvlJc w:val="left"/>
      <w:pPr>
        <w:ind w:left="720" w:hanging="360"/>
      </w:pPr>
      <w:rPr>
        <w:rFonts w:ascii="Symbol" w:hAnsi="Symbol"/>
      </w:rPr>
    </w:lvl>
    <w:lvl w:ilvl="1" w:tplc="BA1C6226">
      <w:start w:val="1"/>
      <w:numFmt w:val="bullet"/>
      <w:lvlText w:val="o"/>
      <w:lvlJc w:val="left"/>
      <w:pPr>
        <w:tabs>
          <w:tab w:val="num" w:pos="1440"/>
        </w:tabs>
        <w:ind w:left="1440" w:hanging="360"/>
      </w:pPr>
      <w:rPr>
        <w:rFonts w:ascii="Courier New" w:hAnsi="Courier New"/>
      </w:rPr>
    </w:lvl>
    <w:lvl w:ilvl="2" w:tplc="B4E2E23E">
      <w:start w:val="1"/>
      <w:numFmt w:val="bullet"/>
      <w:lvlText w:val=""/>
      <w:lvlJc w:val="left"/>
      <w:pPr>
        <w:tabs>
          <w:tab w:val="num" w:pos="2160"/>
        </w:tabs>
        <w:ind w:left="2160" w:hanging="360"/>
      </w:pPr>
      <w:rPr>
        <w:rFonts w:ascii="Wingdings" w:hAnsi="Wingdings"/>
      </w:rPr>
    </w:lvl>
    <w:lvl w:ilvl="3" w:tplc="0C64BDEC">
      <w:start w:val="1"/>
      <w:numFmt w:val="bullet"/>
      <w:lvlText w:val=""/>
      <w:lvlJc w:val="left"/>
      <w:pPr>
        <w:tabs>
          <w:tab w:val="num" w:pos="2880"/>
        </w:tabs>
        <w:ind w:left="2880" w:hanging="360"/>
      </w:pPr>
      <w:rPr>
        <w:rFonts w:ascii="Symbol" w:hAnsi="Symbol"/>
      </w:rPr>
    </w:lvl>
    <w:lvl w:ilvl="4" w:tplc="C1429B72">
      <w:start w:val="1"/>
      <w:numFmt w:val="bullet"/>
      <w:lvlText w:val="o"/>
      <w:lvlJc w:val="left"/>
      <w:pPr>
        <w:tabs>
          <w:tab w:val="num" w:pos="3600"/>
        </w:tabs>
        <w:ind w:left="3600" w:hanging="360"/>
      </w:pPr>
      <w:rPr>
        <w:rFonts w:ascii="Courier New" w:hAnsi="Courier New"/>
      </w:rPr>
    </w:lvl>
    <w:lvl w:ilvl="5" w:tplc="02CEDAD2">
      <w:start w:val="1"/>
      <w:numFmt w:val="bullet"/>
      <w:lvlText w:val=""/>
      <w:lvlJc w:val="left"/>
      <w:pPr>
        <w:tabs>
          <w:tab w:val="num" w:pos="4320"/>
        </w:tabs>
        <w:ind w:left="4320" w:hanging="360"/>
      </w:pPr>
      <w:rPr>
        <w:rFonts w:ascii="Wingdings" w:hAnsi="Wingdings"/>
      </w:rPr>
    </w:lvl>
    <w:lvl w:ilvl="6" w:tplc="4C7C8914">
      <w:start w:val="1"/>
      <w:numFmt w:val="bullet"/>
      <w:lvlText w:val=""/>
      <w:lvlJc w:val="left"/>
      <w:pPr>
        <w:tabs>
          <w:tab w:val="num" w:pos="5040"/>
        </w:tabs>
        <w:ind w:left="5040" w:hanging="360"/>
      </w:pPr>
      <w:rPr>
        <w:rFonts w:ascii="Symbol" w:hAnsi="Symbol"/>
      </w:rPr>
    </w:lvl>
    <w:lvl w:ilvl="7" w:tplc="52782C46">
      <w:start w:val="1"/>
      <w:numFmt w:val="bullet"/>
      <w:lvlText w:val="o"/>
      <w:lvlJc w:val="left"/>
      <w:pPr>
        <w:tabs>
          <w:tab w:val="num" w:pos="5760"/>
        </w:tabs>
        <w:ind w:left="5760" w:hanging="360"/>
      </w:pPr>
      <w:rPr>
        <w:rFonts w:ascii="Courier New" w:hAnsi="Courier New"/>
      </w:rPr>
    </w:lvl>
    <w:lvl w:ilvl="8" w:tplc="039A72E6">
      <w:start w:val="1"/>
      <w:numFmt w:val="bullet"/>
      <w:lvlText w:val=""/>
      <w:lvlJc w:val="left"/>
      <w:pPr>
        <w:tabs>
          <w:tab w:val="num" w:pos="6480"/>
        </w:tabs>
        <w:ind w:left="6480" w:hanging="360"/>
      </w:pPr>
      <w:rPr>
        <w:rFonts w:ascii="Wingdings" w:hAnsi="Wingdings"/>
      </w:rPr>
    </w:lvl>
  </w:abstractNum>
  <w:abstractNum w:abstractNumId="11" w15:restartNumberingAfterBreak="0">
    <w:nsid w:val="72230670"/>
    <w:multiLevelType w:val="hybridMultilevel"/>
    <w:tmpl w:val="72230670"/>
    <w:lvl w:ilvl="0" w:tplc="E6725DB0">
      <w:start w:val="1"/>
      <w:numFmt w:val="bullet"/>
      <w:lvlText w:val=""/>
      <w:lvlJc w:val="left"/>
      <w:pPr>
        <w:ind w:left="720" w:hanging="360"/>
      </w:pPr>
      <w:rPr>
        <w:rFonts w:ascii="Symbol" w:hAnsi="Symbol"/>
      </w:rPr>
    </w:lvl>
    <w:lvl w:ilvl="1" w:tplc="9E4A2070">
      <w:start w:val="1"/>
      <w:numFmt w:val="bullet"/>
      <w:lvlText w:val="o"/>
      <w:lvlJc w:val="left"/>
      <w:pPr>
        <w:tabs>
          <w:tab w:val="num" w:pos="1440"/>
        </w:tabs>
        <w:ind w:left="1440" w:hanging="360"/>
      </w:pPr>
      <w:rPr>
        <w:rFonts w:ascii="Courier New" w:hAnsi="Courier New"/>
      </w:rPr>
    </w:lvl>
    <w:lvl w:ilvl="2" w:tplc="EAEC2248">
      <w:start w:val="1"/>
      <w:numFmt w:val="bullet"/>
      <w:lvlText w:val=""/>
      <w:lvlJc w:val="left"/>
      <w:pPr>
        <w:tabs>
          <w:tab w:val="num" w:pos="2160"/>
        </w:tabs>
        <w:ind w:left="2160" w:hanging="360"/>
      </w:pPr>
      <w:rPr>
        <w:rFonts w:ascii="Wingdings" w:hAnsi="Wingdings"/>
      </w:rPr>
    </w:lvl>
    <w:lvl w:ilvl="3" w:tplc="9DB22588">
      <w:start w:val="1"/>
      <w:numFmt w:val="bullet"/>
      <w:lvlText w:val=""/>
      <w:lvlJc w:val="left"/>
      <w:pPr>
        <w:tabs>
          <w:tab w:val="num" w:pos="2880"/>
        </w:tabs>
        <w:ind w:left="2880" w:hanging="360"/>
      </w:pPr>
      <w:rPr>
        <w:rFonts w:ascii="Symbol" w:hAnsi="Symbol"/>
      </w:rPr>
    </w:lvl>
    <w:lvl w:ilvl="4" w:tplc="308A6D64">
      <w:start w:val="1"/>
      <w:numFmt w:val="bullet"/>
      <w:lvlText w:val="o"/>
      <w:lvlJc w:val="left"/>
      <w:pPr>
        <w:tabs>
          <w:tab w:val="num" w:pos="3600"/>
        </w:tabs>
        <w:ind w:left="3600" w:hanging="360"/>
      </w:pPr>
      <w:rPr>
        <w:rFonts w:ascii="Courier New" w:hAnsi="Courier New"/>
      </w:rPr>
    </w:lvl>
    <w:lvl w:ilvl="5" w:tplc="0890F80A">
      <w:start w:val="1"/>
      <w:numFmt w:val="bullet"/>
      <w:lvlText w:val=""/>
      <w:lvlJc w:val="left"/>
      <w:pPr>
        <w:tabs>
          <w:tab w:val="num" w:pos="4320"/>
        </w:tabs>
        <w:ind w:left="4320" w:hanging="360"/>
      </w:pPr>
      <w:rPr>
        <w:rFonts w:ascii="Wingdings" w:hAnsi="Wingdings"/>
      </w:rPr>
    </w:lvl>
    <w:lvl w:ilvl="6" w:tplc="4B069C6A">
      <w:start w:val="1"/>
      <w:numFmt w:val="bullet"/>
      <w:lvlText w:val=""/>
      <w:lvlJc w:val="left"/>
      <w:pPr>
        <w:tabs>
          <w:tab w:val="num" w:pos="5040"/>
        </w:tabs>
        <w:ind w:left="5040" w:hanging="360"/>
      </w:pPr>
      <w:rPr>
        <w:rFonts w:ascii="Symbol" w:hAnsi="Symbol"/>
      </w:rPr>
    </w:lvl>
    <w:lvl w:ilvl="7" w:tplc="40323DE4">
      <w:start w:val="1"/>
      <w:numFmt w:val="bullet"/>
      <w:lvlText w:val="o"/>
      <w:lvlJc w:val="left"/>
      <w:pPr>
        <w:tabs>
          <w:tab w:val="num" w:pos="5760"/>
        </w:tabs>
        <w:ind w:left="5760" w:hanging="360"/>
      </w:pPr>
      <w:rPr>
        <w:rFonts w:ascii="Courier New" w:hAnsi="Courier New"/>
      </w:rPr>
    </w:lvl>
    <w:lvl w:ilvl="8" w:tplc="C832A3C8">
      <w:start w:val="1"/>
      <w:numFmt w:val="bullet"/>
      <w:lvlText w:val=""/>
      <w:lvlJc w:val="left"/>
      <w:pPr>
        <w:tabs>
          <w:tab w:val="num" w:pos="6480"/>
        </w:tabs>
        <w:ind w:left="6480" w:hanging="360"/>
      </w:pPr>
      <w:rPr>
        <w:rFonts w:ascii="Wingdings" w:hAnsi="Wingdings"/>
      </w:rPr>
    </w:lvl>
  </w:abstractNum>
  <w:abstractNum w:abstractNumId="12" w15:restartNumberingAfterBreak="0">
    <w:nsid w:val="72230671"/>
    <w:multiLevelType w:val="hybridMultilevel"/>
    <w:tmpl w:val="72230671"/>
    <w:lvl w:ilvl="0" w:tplc="870EBDEE">
      <w:start w:val="1"/>
      <w:numFmt w:val="bullet"/>
      <w:lvlText w:val=""/>
      <w:lvlJc w:val="left"/>
      <w:pPr>
        <w:ind w:left="720" w:hanging="360"/>
      </w:pPr>
      <w:rPr>
        <w:rFonts w:ascii="Symbol" w:hAnsi="Symbol"/>
      </w:rPr>
    </w:lvl>
    <w:lvl w:ilvl="1" w:tplc="042C812E">
      <w:start w:val="1"/>
      <w:numFmt w:val="bullet"/>
      <w:lvlText w:val="o"/>
      <w:lvlJc w:val="left"/>
      <w:pPr>
        <w:tabs>
          <w:tab w:val="num" w:pos="1440"/>
        </w:tabs>
        <w:ind w:left="1440" w:hanging="360"/>
      </w:pPr>
      <w:rPr>
        <w:rFonts w:ascii="Courier New" w:hAnsi="Courier New"/>
      </w:rPr>
    </w:lvl>
    <w:lvl w:ilvl="2" w:tplc="3508D7D8">
      <w:start w:val="1"/>
      <w:numFmt w:val="bullet"/>
      <w:lvlText w:val=""/>
      <w:lvlJc w:val="left"/>
      <w:pPr>
        <w:tabs>
          <w:tab w:val="num" w:pos="2160"/>
        </w:tabs>
        <w:ind w:left="2160" w:hanging="360"/>
      </w:pPr>
      <w:rPr>
        <w:rFonts w:ascii="Wingdings" w:hAnsi="Wingdings"/>
      </w:rPr>
    </w:lvl>
    <w:lvl w:ilvl="3" w:tplc="F4669824">
      <w:start w:val="1"/>
      <w:numFmt w:val="bullet"/>
      <w:lvlText w:val=""/>
      <w:lvlJc w:val="left"/>
      <w:pPr>
        <w:tabs>
          <w:tab w:val="num" w:pos="2880"/>
        </w:tabs>
        <w:ind w:left="2880" w:hanging="360"/>
      </w:pPr>
      <w:rPr>
        <w:rFonts w:ascii="Symbol" w:hAnsi="Symbol"/>
      </w:rPr>
    </w:lvl>
    <w:lvl w:ilvl="4" w:tplc="1D0A5D40">
      <w:start w:val="1"/>
      <w:numFmt w:val="bullet"/>
      <w:lvlText w:val="o"/>
      <w:lvlJc w:val="left"/>
      <w:pPr>
        <w:tabs>
          <w:tab w:val="num" w:pos="3600"/>
        </w:tabs>
        <w:ind w:left="3600" w:hanging="360"/>
      </w:pPr>
      <w:rPr>
        <w:rFonts w:ascii="Courier New" w:hAnsi="Courier New"/>
      </w:rPr>
    </w:lvl>
    <w:lvl w:ilvl="5" w:tplc="B27A6AF6">
      <w:start w:val="1"/>
      <w:numFmt w:val="bullet"/>
      <w:lvlText w:val=""/>
      <w:lvlJc w:val="left"/>
      <w:pPr>
        <w:tabs>
          <w:tab w:val="num" w:pos="4320"/>
        </w:tabs>
        <w:ind w:left="4320" w:hanging="360"/>
      </w:pPr>
      <w:rPr>
        <w:rFonts w:ascii="Wingdings" w:hAnsi="Wingdings"/>
      </w:rPr>
    </w:lvl>
    <w:lvl w:ilvl="6" w:tplc="F7E0F364">
      <w:start w:val="1"/>
      <w:numFmt w:val="bullet"/>
      <w:lvlText w:val=""/>
      <w:lvlJc w:val="left"/>
      <w:pPr>
        <w:tabs>
          <w:tab w:val="num" w:pos="5040"/>
        </w:tabs>
        <w:ind w:left="5040" w:hanging="360"/>
      </w:pPr>
      <w:rPr>
        <w:rFonts w:ascii="Symbol" w:hAnsi="Symbol"/>
      </w:rPr>
    </w:lvl>
    <w:lvl w:ilvl="7" w:tplc="0DEEC6A2">
      <w:start w:val="1"/>
      <w:numFmt w:val="bullet"/>
      <w:lvlText w:val="o"/>
      <w:lvlJc w:val="left"/>
      <w:pPr>
        <w:tabs>
          <w:tab w:val="num" w:pos="5760"/>
        </w:tabs>
        <w:ind w:left="5760" w:hanging="360"/>
      </w:pPr>
      <w:rPr>
        <w:rFonts w:ascii="Courier New" w:hAnsi="Courier New"/>
      </w:rPr>
    </w:lvl>
    <w:lvl w:ilvl="8" w:tplc="AE7A1A36">
      <w:start w:val="1"/>
      <w:numFmt w:val="bullet"/>
      <w:lvlText w:val=""/>
      <w:lvlJc w:val="left"/>
      <w:pPr>
        <w:tabs>
          <w:tab w:val="num" w:pos="6480"/>
        </w:tabs>
        <w:ind w:left="6480" w:hanging="360"/>
      </w:pPr>
      <w:rPr>
        <w:rFonts w:ascii="Wingdings" w:hAnsi="Wingdings"/>
      </w:rPr>
    </w:lvl>
  </w:abstractNum>
  <w:num w:numId="1">
    <w:abstractNumId w:val="1"/>
  </w:num>
  <w:num w:numId="2">
    <w:abstractNumId w:val="0"/>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72C0"/>
    <w:rsid w:val="001472C0"/>
    <w:rsid w:val="00CC2C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BCA6F8"/>
  <w15:chartTrackingRefBased/>
  <w15:docId w15:val="{F50D9C1B-8A79-4AF9-92DE-9D179518A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72C0"/>
    <w:pPr>
      <w:spacing w:before="120" w:after="120" w:line="240" w:lineRule="auto"/>
      <w:jc w:val="both"/>
    </w:pPr>
    <w:rPr>
      <w:rFonts w:ascii="Times New Roman" w:eastAsia="Times New Roman" w:hAnsi="Times New Roman" w:cs="Times New Roman"/>
      <w:sz w:val="24"/>
      <w:szCs w:val="20"/>
      <w:lang w:val="en-GB"/>
    </w:rPr>
  </w:style>
  <w:style w:type="paragraph" w:styleId="Heading1">
    <w:name w:val="heading 1"/>
    <w:basedOn w:val="Normal"/>
    <w:next w:val="Normal"/>
    <w:link w:val="Heading1Char"/>
    <w:qFormat/>
    <w:rsid w:val="001472C0"/>
    <w:pPr>
      <w:keepNext/>
      <w:numPr>
        <w:numId w:val="2"/>
      </w:numPr>
      <w:spacing w:before="240" w:after="240"/>
      <w:outlineLvl w:val="0"/>
    </w:pPr>
    <w:rPr>
      <w:b/>
      <w:smallCaps/>
      <w:sz w:val="28"/>
      <w:lang w:val="fr-BE"/>
    </w:rPr>
  </w:style>
  <w:style w:type="paragraph" w:styleId="Heading2">
    <w:name w:val="heading 2"/>
    <w:basedOn w:val="Heading1"/>
    <w:next w:val="Normal"/>
    <w:link w:val="Heading2Char"/>
    <w:autoRedefine/>
    <w:qFormat/>
    <w:rsid w:val="001472C0"/>
    <w:pPr>
      <w:numPr>
        <w:ilvl w:val="1"/>
      </w:numPr>
      <w:outlineLvl w:val="1"/>
    </w:pPr>
    <w:rPr>
      <w:smallCaps w:val="0"/>
      <w:sz w:val="24"/>
    </w:rPr>
  </w:style>
  <w:style w:type="paragraph" w:styleId="Heading3">
    <w:name w:val="heading 3"/>
    <w:basedOn w:val="Heading2"/>
    <w:next w:val="Normal"/>
    <w:link w:val="Heading3Char"/>
    <w:autoRedefine/>
    <w:qFormat/>
    <w:rsid w:val="001472C0"/>
    <w:pPr>
      <w:numPr>
        <w:ilvl w:val="2"/>
      </w:numPr>
      <w:outlineLvl w:val="2"/>
    </w:pPr>
    <w:rPr>
      <w:b w:val="0"/>
      <w:color w:val="000000"/>
    </w:rPr>
  </w:style>
  <w:style w:type="paragraph" w:styleId="Heading4">
    <w:name w:val="heading 4"/>
    <w:basedOn w:val="Heading3"/>
    <w:next w:val="Normal"/>
    <w:link w:val="Heading4Char"/>
    <w:qFormat/>
    <w:rsid w:val="001472C0"/>
    <w:pPr>
      <w:numPr>
        <w:ilvl w:val="3"/>
      </w:numPr>
      <w:outlineLvl w:val="3"/>
    </w:pPr>
    <w:rPr>
      <w:i/>
    </w:rPr>
  </w:style>
  <w:style w:type="paragraph" w:styleId="Heading5">
    <w:name w:val="heading 5"/>
    <w:basedOn w:val="Heading4"/>
    <w:next w:val="Normal"/>
    <w:link w:val="Heading5Char"/>
    <w:qFormat/>
    <w:rsid w:val="001472C0"/>
    <w:pPr>
      <w:numPr>
        <w:ilvl w:val="4"/>
      </w:numPr>
      <w:jc w:val="left"/>
      <w:outlineLvl w:val="4"/>
    </w:pPr>
    <w:rPr>
      <w:rFonts w:ascii="Arial" w:hAnsi="Arial"/>
      <w:b/>
      <w:i w:val="0"/>
      <w:noProof/>
      <w:sz w:val="22"/>
    </w:rPr>
  </w:style>
  <w:style w:type="paragraph" w:styleId="Heading6">
    <w:name w:val="heading 6"/>
    <w:basedOn w:val="Heading5"/>
    <w:next w:val="Normal"/>
    <w:link w:val="Heading6Char"/>
    <w:qFormat/>
    <w:rsid w:val="001472C0"/>
    <w:pPr>
      <w:numPr>
        <w:ilvl w:val="5"/>
      </w:numPr>
      <w:spacing w:after="60"/>
      <w:outlineLvl w:val="5"/>
    </w:pPr>
    <w:rPr>
      <w:b w:val="0"/>
    </w:rPr>
  </w:style>
  <w:style w:type="paragraph" w:styleId="Heading7">
    <w:name w:val="heading 7"/>
    <w:basedOn w:val="Heading6"/>
    <w:next w:val="Normal"/>
    <w:link w:val="Heading7Char"/>
    <w:qFormat/>
    <w:rsid w:val="001472C0"/>
    <w:pPr>
      <w:numPr>
        <w:ilvl w:val="6"/>
      </w:numPr>
      <w:outlineLvl w:val="6"/>
    </w:pPr>
    <w:rPr>
      <w:i/>
    </w:rPr>
  </w:style>
  <w:style w:type="paragraph" w:styleId="Heading8">
    <w:name w:val="heading 8"/>
    <w:basedOn w:val="Heading7"/>
    <w:next w:val="Normal"/>
    <w:link w:val="Heading8Char"/>
    <w:qFormat/>
    <w:rsid w:val="001472C0"/>
    <w:pPr>
      <w:numPr>
        <w:ilvl w:val="7"/>
      </w:numPr>
      <w:outlineLvl w:val="7"/>
    </w:pPr>
    <w:rPr>
      <w:rFonts w:ascii="Calibri" w:hAnsi="Calibri"/>
      <w:b/>
      <w:i w:val="0"/>
      <w:sz w:val="24"/>
    </w:rPr>
  </w:style>
  <w:style w:type="paragraph" w:styleId="Heading9">
    <w:name w:val="heading 9"/>
    <w:basedOn w:val="Heading8"/>
    <w:next w:val="Normal"/>
    <w:link w:val="Heading9Char"/>
    <w:qFormat/>
    <w:rsid w:val="001472C0"/>
    <w:pPr>
      <w:numPr>
        <w:ilvl w:val="8"/>
      </w:numPr>
      <w:outlineLvl w:val="8"/>
    </w:pPr>
    <w:rPr>
      <w:b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472C0"/>
    <w:rPr>
      <w:rFonts w:ascii="Times New Roman" w:eastAsia="Times New Roman" w:hAnsi="Times New Roman" w:cs="Times New Roman"/>
      <w:b/>
      <w:smallCaps/>
      <w:sz w:val="28"/>
      <w:szCs w:val="20"/>
      <w:lang w:val="fr-BE"/>
    </w:rPr>
  </w:style>
  <w:style w:type="character" w:customStyle="1" w:styleId="Heading2Char">
    <w:name w:val="Heading 2 Char"/>
    <w:basedOn w:val="DefaultParagraphFont"/>
    <w:link w:val="Heading2"/>
    <w:rsid w:val="001472C0"/>
    <w:rPr>
      <w:rFonts w:ascii="Times New Roman" w:eastAsia="Times New Roman" w:hAnsi="Times New Roman" w:cs="Times New Roman"/>
      <w:b/>
      <w:sz w:val="24"/>
      <w:szCs w:val="20"/>
      <w:lang w:val="fr-BE"/>
    </w:rPr>
  </w:style>
  <w:style w:type="character" w:customStyle="1" w:styleId="Heading3Char">
    <w:name w:val="Heading 3 Char"/>
    <w:basedOn w:val="DefaultParagraphFont"/>
    <w:link w:val="Heading3"/>
    <w:rsid w:val="001472C0"/>
    <w:rPr>
      <w:rFonts w:ascii="Times New Roman" w:eastAsia="Times New Roman" w:hAnsi="Times New Roman" w:cs="Times New Roman"/>
      <w:color w:val="000000"/>
      <w:sz w:val="24"/>
      <w:szCs w:val="20"/>
      <w:lang w:val="fr-BE"/>
    </w:rPr>
  </w:style>
  <w:style w:type="character" w:customStyle="1" w:styleId="Heading4Char">
    <w:name w:val="Heading 4 Char"/>
    <w:basedOn w:val="DefaultParagraphFont"/>
    <w:link w:val="Heading4"/>
    <w:rsid w:val="001472C0"/>
    <w:rPr>
      <w:rFonts w:ascii="Times New Roman" w:eastAsia="Times New Roman" w:hAnsi="Times New Roman" w:cs="Times New Roman"/>
      <w:i/>
      <w:color w:val="000000"/>
      <w:sz w:val="24"/>
      <w:szCs w:val="20"/>
      <w:lang w:val="fr-BE"/>
    </w:rPr>
  </w:style>
  <w:style w:type="character" w:customStyle="1" w:styleId="Heading5Char">
    <w:name w:val="Heading 5 Char"/>
    <w:basedOn w:val="DefaultParagraphFont"/>
    <w:link w:val="Heading5"/>
    <w:rsid w:val="001472C0"/>
    <w:rPr>
      <w:rFonts w:ascii="Arial" w:eastAsia="Times New Roman" w:hAnsi="Arial" w:cs="Times New Roman"/>
      <w:b/>
      <w:noProof/>
      <w:color w:val="000000"/>
      <w:szCs w:val="20"/>
      <w:lang w:val="fr-BE"/>
    </w:rPr>
  </w:style>
  <w:style w:type="character" w:customStyle="1" w:styleId="Heading6Char">
    <w:name w:val="Heading 6 Char"/>
    <w:basedOn w:val="DefaultParagraphFont"/>
    <w:link w:val="Heading6"/>
    <w:rsid w:val="001472C0"/>
    <w:rPr>
      <w:rFonts w:ascii="Arial" w:eastAsia="Times New Roman" w:hAnsi="Arial" w:cs="Times New Roman"/>
      <w:noProof/>
      <w:color w:val="000000"/>
      <w:szCs w:val="20"/>
      <w:lang w:val="fr-BE"/>
    </w:rPr>
  </w:style>
  <w:style w:type="character" w:customStyle="1" w:styleId="Heading7Char">
    <w:name w:val="Heading 7 Char"/>
    <w:basedOn w:val="DefaultParagraphFont"/>
    <w:link w:val="Heading7"/>
    <w:rsid w:val="001472C0"/>
    <w:rPr>
      <w:rFonts w:ascii="Arial" w:eastAsia="Times New Roman" w:hAnsi="Arial" w:cs="Times New Roman"/>
      <w:i/>
      <w:noProof/>
      <w:color w:val="000000"/>
      <w:szCs w:val="20"/>
      <w:lang w:val="fr-BE"/>
    </w:rPr>
  </w:style>
  <w:style w:type="character" w:customStyle="1" w:styleId="Heading8Char">
    <w:name w:val="Heading 8 Char"/>
    <w:basedOn w:val="DefaultParagraphFont"/>
    <w:link w:val="Heading8"/>
    <w:rsid w:val="001472C0"/>
    <w:rPr>
      <w:rFonts w:ascii="Calibri" w:eastAsia="Times New Roman" w:hAnsi="Calibri" w:cs="Times New Roman"/>
      <w:b/>
      <w:noProof/>
      <w:color w:val="000000"/>
      <w:sz w:val="24"/>
      <w:szCs w:val="20"/>
      <w:lang w:val="fr-BE"/>
    </w:rPr>
  </w:style>
  <w:style w:type="character" w:customStyle="1" w:styleId="Heading9Char">
    <w:name w:val="Heading 9 Char"/>
    <w:basedOn w:val="DefaultParagraphFont"/>
    <w:link w:val="Heading9"/>
    <w:rsid w:val="001472C0"/>
    <w:rPr>
      <w:rFonts w:ascii="Calibri" w:eastAsia="Times New Roman" w:hAnsi="Calibri" w:cs="Times New Roman"/>
      <w:noProof/>
      <w:color w:val="000000"/>
      <w:sz w:val="24"/>
      <w:szCs w:val="20"/>
      <w:lang w:val="fr-BE"/>
    </w:rPr>
  </w:style>
  <w:style w:type="paragraph" w:styleId="BodyText">
    <w:name w:val="Body Text"/>
    <w:basedOn w:val="Normal"/>
    <w:link w:val="BodyTextChar"/>
    <w:rsid w:val="001472C0"/>
  </w:style>
  <w:style w:type="character" w:customStyle="1" w:styleId="BodyTextChar">
    <w:name w:val="Body Text Char"/>
    <w:basedOn w:val="DefaultParagraphFont"/>
    <w:link w:val="BodyText"/>
    <w:rsid w:val="001472C0"/>
    <w:rPr>
      <w:rFonts w:ascii="Times New Roman" w:eastAsia="Times New Roman" w:hAnsi="Times New Roman" w:cs="Times New Roman"/>
      <w:sz w:val="24"/>
      <w:szCs w:val="20"/>
      <w:lang w:val="en-GB"/>
    </w:rPr>
  </w:style>
  <w:style w:type="numbering" w:customStyle="1" w:styleId="Headings">
    <w:name w:val="Headings"/>
    <w:uiPriority w:val="99"/>
    <w:rsid w:val="001472C0"/>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1923</Words>
  <Characters>10967</Characters>
  <Application>Microsoft Office Word</Application>
  <DocSecurity>0</DocSecurity>
  <Lines>91</Lines>
  <Paragraphs>25</Paragraphs>
  <ScaleCrop>false</ScaleCrop>
  <Company/>
  <LinksUpToDate>false</LinksUpToDate>
  <CharactersWithSpaces>12865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ANDREI</dc:creator>
  <cp:keywords/>
  <dc:description/>
  <cp:lastModifiedBy>Viorel ANDREI</cp:lastModifiedBy>
  <cp:revision>1</cp:revision>
  <dcterms:created xsi:type="dcterms:W3CDTF">2021-10-07T07:33:00Z</dcterms:created>
  <dcterms:modified xsi:type="dcterms:W3CDTF">2021-10-07T07:35:00Z</dcterms:modified>
</cp:coreProperties>
</file>